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0.xml" ContentType="application/vnd.openxmlformats-officedocument.wordprocessingml.footer+xml"/>
  <Override PartName="/word/footer13.xml" ContentType="application/vnd.openxmlformats-officedocument.wordprocessingml.footer+xml"/>
  <Override PartName="/word/footer16.xml" ContentType="application/vnd.openxmlformats-officedocument.wordprocessingml.footer+xml"/>
  <Override PartName="/word/footer19.xml" ContentType="application/vnd.openxmlformats-officedocument.wordprocessingml.footer+xml"/>
  <Override PartName="/word/footer4.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header13.xml" ContentType="application/vnd.openxmlformats-officedocument.wordprocessingml.header+xml"/>
  <Override PartName="/word/header16.xml" ContentType="application/vnd.openxmlformats-officedocument.wordprocessingml.header+xml"/>
  <Override PartName="/word/header19.xml" ContentType="application/vnd.openxmlformats-officedocument.wordprocessingml.header+xml"/>
  <Override PartName="/word/header4.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Pr>
        <w:jc w:val="center"/>
        <w:spacing w:after="120"/>
      </w:pPr>
      <w:r>
        <w:rPr>
          <w:color w:val="1B2A4A"/>
          <w:sz w:val="36"/>
          <w:szCs w:val="36"/>
          <w:b w:val="1"/>
          <w:bCs w:val="1"/>
        </w:rPr>
        <w:t xml:space="preserve">EXPEDIENTE DE CONTRATACIÓN DIRECTA</w:t>
      </w:r>
    </w:p>
    <w:p>
      <w:pPr>
        <w:jc w:val="center"/>
        <w:spacing w:after="400"/>
      </w:pPr>
      <w:r>
        <w:rPr>
          <w:color w:val="1B2A4A"/>
          <w:sz w:val="28"/>
          <w:szCs w:val="28"/>
          <w:b w:val="1"/>
          <w:bCs w:val="1"/>
        </w:rPr>
        <w:t xml:space="preserve">Base de datos jurídica Edilia</w:t>
      </w:r>
    </w:p>
    <w:p>
      <w:pPr>
        <w:spacing w:after="200"/>
        <w:pBdr>
          <w:bottom w:val="single" w:sz="6" w:color="CCCCCC"/>
        </w:pBdr>
      </w:pPr>
      <w:r>
        <w:rPr/>
        <w:t xml:space="preserve"/>
      </w:r>
    </w:p>
    <w:p>
      <w:pPr>
        <w:jc w:val="center"/>
        <w:spacing w:after="600"/>
      </w:pPr>
      <w:r>
        <w:rPr>
          <w:color w:val="444444"/>
          <w:sz w:val="22"/>
          <w:szCs w:val="22"/>
          <w:i w:val="1"/>
          <w:iCs w:val="1"/>
        </w:rPr>
        <w:t xml:space="preserve">Al amparo de la Disposición Adicional Novena de la Ley 9/2017, de 8 de noviembre, de Contratos del Sector Público</w:t>
      </w:r>
    </w:p>
    <w:p/>
    <w:p/>
    <w:p>
      <w:pPr>
        <w:jc w:val="center"/>
        <w:spacing w:after="120"/>
      </w:pPr>
      <w:r>
        <w:rPr>
          <w:sz w:val="24"/>
          <w:szCs w:val="24"/>
        </w:rPr>
        <w:t xml:space="preserve">Ayuntamiento de </w:t>
      </w:r>
      <w:r>
        <w:rPr>
          <w:color w:val="0066CC"/>
          <w:sz w:val="24"/>
          <w:szCs w:val="24"/>
          <w:b w:val="1"/>
          <w:bCs w:val="1"/>
        </w:rPr>
        <w:t xml:space="preserve">{{MUNICIPIO}}</w:t>
      </w:r>
    </w:p>
    <w:p/>
    <w:p>
      <w:pPr>
        <w:jc w:val="center"/>
        <w:spacing w:after="120"/>
      </w:pPr>
      <w:r>
        <w:rPr>
          <w:sz w:val="24"/>
          <w:szCs w:val="24"/>
        </w:rPr>
        <w:t xml:space="preserve">Fecha: </w:t>
      </w:r>
      <w:r>
        <w:rPr>
          <w:color w:val="0066CC"/>
          <w:sz w:val="24"/>
          <w:szCs w:val="24"/>
          <w:b w:val="1"/>
          <w:bCs w:val="1"/>
        </w:rPr>
        <w:t xml:space="preserve">{{FECHA}}</w:t>
      </w:r>
    </w:p>
    <w:p/>
    <w:p/>
    <w:p/>
    <w:p/>
    <w:p/>
    <w:p/>
    <w:p>
      <w:pPr>
        <w:jc w:val="center"/>
        <w:spacing w:after="120"/>
      </w:pPr>
      <w:r>
        <w:rPr>
          <w:color w:val="999999"/>
          <w:sz w:val="18"/>
          <w:szCs w:val="18"/>
          <w:i w:val="1"/>
          <w:iCs w:val="1"/>
        </w:rPr>
        <w:t xml:space="preserve">Documento generado por ayto.app — https://edilia.ayto.app</w:t>
      </w:r>
    </w:p>
    <w:p>
      <w:pPr>
        <w:sectPr>
          <w:pgSz w:orient="portrait" w:w="11905.511811023622" w:h="16837.79527559055"/>
          <w:pgMar w:top="1417.3228346456694" w:right="1417.3228346456694" w:bottom="1417.3228346456694" w:left="1700.787401574803" w:header="720" w:footer="720" w:gutter="0"/>
          <w:cols w:num="1" w:space="720"/>
        </w:sectPr>
      </w:pPr>
    </w:p>
    <w:p>
      <w:pPr>
        <w:pStyle w:val="Heading1"/>
      </w:pPr>
      <w:bookmarkStart w:id="0" w:name="_Toc0"/>
      <w:r>
        <w:t>CHECKLIST DE TRAMITACIÓN</w:t>
      </w:r>
      <w:bookmarkEnd w:id="0"/>
    </w:p>
    <w:p>
      <w:pPr>
        <w:spacing w:after="200"/>
        <w:pBdr>
          <w:bottom w:val="single" w:sz="6" w:color="CCCCCC"/>
        </w:pBdr>
      </w:pPr>
      <w:r>
        <w:rPr/>
        <w:t xml:space="preserve"/>
      </w:r>
    </w:p>
    <w:p>
      <w:pPr>
        <w:jc w:val="both"/>
        <w:spacing w:after="120"/>
      </w:pPr>
      <w:r>
        <w:rPr/>
        <w:t xml:space="preserve">Utilice esta lista de verificación para asegurarse de que el expediente contiene toda la documentación necesaria antes de proceder a la adjudicación:</w:t>
      </w:r>
    </w:p>
    <w:p/>
    <w:p>
      <w:pPr>
        <w:jc w:val="both"/>
        <w:ind w:left="480" w:right="0" w:firstLine="0" w:hanging="0"/>
        <w:spacing w:after="120"/>
      </w:pPr>
      <w:r>
        <w:rPr/>
        <w:t xml:space="preserve">☐  1. Informe de necesidad e idoneidad aprobado (Documento 1)</w:t>
      </w:r>
    </w:p>
    <w:p>
      <w:pPr>
        <w:jc w:val="both"/>
        <w:ind w:left="480" w:right="0" w:firstLine="0" w:hanging="0"/>
        <w:spacing w:after="120"/>
      </w:pPr>
      <w:r>
        <w:rPr/>
        <w:t xml:space="preserve">☐  2. Certificación de existencia de crédito (Documento 2)</w:t>
      </w:r>
    </w:p>
    <w:p>
      <w:pPr>
        <w:jc w:val="both"/>
        <w:ind w:left="480" w:right="0" w:firstLine="0" w:hanging="0"/>
        <w:spacing w:after="120"/>
      </w:pPr>
      <w:r>
        <w:rPr/>
        <w:t xml:space="preserve">☐  3. Resolución de Alcaldía de adjudicación (Documento 3)</w:t>
      </w:r>
    </w:p>
    <w:p>
      <w:pPr>
        <w:jc w:val="both"/>
        <w:ind w:left="480" w:right="0" w:firstLine="0" w:hanging="0"/>
        <w:spacing w:after="120"/>
      </w:pPr>
      <w:r>
        <w:rPr/>
        <w:t xml:space="preserve">☐  4. Contrato de Encargado del Tratamiento firmado (Documento 4)</w:t>
      </w:r>
    </w:p>
    <w:p>
      <w:pPr>
        <w:jc w:val="both"/>
        <w:ind w:left="480" w:right="0" w:firstLine="0" w:hanging="0"/>
        <w:spacing w:after="120"/>
      </w:pPr>
      <w:r>
        <w:rPr/>
        <w:t xml:space="preserve">☐  5. Condiciones generales del proveedor aceptadas</w:t>
      </w:r>
    </w:p>
    <w:p>
      <w:pPr>
        <w:jc w:val="both"/>
        <w:ind w:left="480" w:right="0" w:firstLine="0" w:hanging="0"/>
        <w:spacing w:after="120"/>
      </w:pPr>
      <w:r>
        <w:rPr/>
        <w:t xml:space="preserve">☐  6. Publicación en perfil del contratante (si importe &gt; 5.000 € IVA excluido)</w:t>
      </w:r>
    </w:p>
    <w:p>
      <w:pPr>
        <w:jc w:val="both"/>
        <w:ind w:left="480" w:right="0" w:firstLine="0" w:hanging="0"/>
        <w:spacing w:after="120"/>
      </w:pPr>
      <w:r>
        <w:rPr/>
        <w:t xml:space="preserve">☐  7. Comunicación al proveedor</w:t>
      </w:r>
    </w:p>
    <w:p>
      <w:pPr>
        <w:jc w:val="both"/>
        <w:ind w:left="480" w:right="0" w:firstLine="0" w:hanging="0"/>
        <w:spacing w:after="120"/>
      </w:pPr>
      <w:r>
        <w:rPr/>
        <w:t xml:space="preserve">☐  8. Activación del servicio</w:t>
      </w:r>
    </w:p>
    <w:p/>
    <w:p>
      <w:pPr>
        <w:jc w:val="both"/>
        <w:spacing w:after="120"/>
      </w:pPr>
      <w:r>
        <w:rPr>
          <w:color w:val="666666"/>
          <w:sz w:val="20"/>
          <w:szCs w:val="20"/>
          <w:i w:val="1"/>
          <w:iCs w:val="1"/>
        </w:rPr>
        <w:t xml:space="preserve">Nota: Los documentos incluidos a continuación son modelos orientativos. Cada municipio debe adaptarlos a su organización interna y normativa aplicable.</w:t>
      </w:r>
    </w:p>
    <w:p>
      <w:pPr>
        <w:sectPr>
          <w:headerReference w:type="default" r:id="rId7"/>
          <w:footerReference w:type="default" r:id="rId8"/>
          <w:pgSz w:orient="portrait" w:w="11905.511811023622" w:h="16837.79527559055"/>
          <w:pgMar w:top="1417.3228346456694" w:right="1417.3228346456694" w:bottom="1417.3228346456694" w:left="1700.787401574803" w:header="720" w:footer="720" w:gutter="0"/>
          <w:cols w:num="1" w:space="720"/>
        </w:sectPr>
      </w:pPr>
    </w:p>
    <w:p>
      <w:pPr>
        <w:pStyle w:val="Heading1"/>
      </w:pPr>
      <w:bookmarkStart w:id="1" w:name="_Toc1"/>
      <w:r>
        <w:t>DOCUMENTO 1</w:t>
      </w:r>
      <w:bookmarkEnd w:id="1"/>
    </w:p>
    <w:p>
      <w:pPr>
        <w:jc w:val="center"/>
        <w:spacing w:after="120"/>
      </w:pPr>
      <w:r>
        <w:rPr>
          <w:color w:val="1B2A4A"/>
          <w:sz w:val="24"/>
          <w:szCs w:val="24"/>
          <w:b w:val="1"/>
          <w:bCs w:val="1"/>
        </w:rPr>
        <w:t xml:space="preserve">INFORME DE NECESIDAD E IDONEIDAD PARA LA SUSCRIPCIÓN A BASE DE DATOS ESPECIALIZADA</w:t>
      </w:r>
    </w:p>
    <w:p>
      <w:pPr>
        <w:jc w:val="center"/>
        <w:spacing w:after="120"/>
      </w:pPr>
      <w:r>
        <w:rPr>
          <w:sz w:val="20"/>
          <w:szCs w:val="20"/>
          <w:i w:val="1"/>
          <w:iCs w:val="1"/>
        </w:rPr>
        <w:t xml:space="preserve">(Art. 118.1 de la Ley 9/2017, de Contratos del Sector Público)</w:t>
      </w:r>
    </w:p>
    <w:p>
      <w:pPr>
        <w:spacing w:after="200"/>
        <w:pBdr>
          <w:bottom w:val="single" w:sz="6" w:color="CCCCCC"/>
        </w:pBdr>
      </w:pPr>
      <w:r>
        <w:rPr/>
        <w:t xml:space="preserve"/>
      </w:r>
    </w:p>
    <w:p>
      <w:pPr>
        <w:pStyle w:val="Heading2"/>
      </w:pPr>
      <w:bookmarkStart w:id="2" w:name="_Toc2"/>
      <w:r>
        <w:t>1. DATOS IDENTIFICATIVOS</w:t>
      </w:r>
      <w:bookmarkEnd w:id="2"/>
    </w:p>
    <w:tbl>
      <w:tblGrid>
        <w:gridCol w:w="3200" w:type="dxa"/>
        <w:gridCol w:w="6800" w:type="dxa"/>
      </w:tblGrid>
      <w:tblPr>
        <w:tblW w:w="5000" w:type="pct"/>
        <w:tblLayout w:type="autofit"/>
        <w:tblCellMar>
          <w:top w:w="80" w:type="dxa"/>
          <w:left w:w="80" w:type="dxa"/>
          <w:right w:w="80" w:type="dxa"/>
          <w:bottom w:w="80" w:type="dxa"/>
        </w:tblCellMar>
        <w:tblBorders>
          <w:top w:val="single" w:sz="1" w:color="CCCCCC"/>
          <w:left w:val="single" w:sz="1" w:color="CCCCCC"/>
          <w:right w:val="single" w:sz="1" w:color="CCCCCC"/>
          <w:bottom w:val="single" w:sz="1" w:color="CCCCCC"/>
          <w:insideH w:val="single" w:sz="1" w:color="CCCCCC"/>
          <w:insideV w:val="single" w:sz="1" w:color="CCCCCC"/>
        </w:tblBorders>
      </w:tblPr>
      <w:tr>
        <w:trPr/>
        <w:tc>
          <w:tcPr>
            <w:tcW w:w="3200" w:type="dxa"/>
            <w:vAlign w:val="center"/>
            <w:shd w:val="clear" w:fill="F5F5F5"/>
            <w:noWrap/>
          </w:tcPr>
          <w:p>
            <w:pPr/>
            <w:r>
              <w:rPr>
                <w:sz w:val="20"/>
                <w:szCs w:val="20"/>
                <w:b w:val="1"/>
                <w:bCs w:val="1"/>
              </w:rPr>
              <w:t xml:space="preserve">Entidad contratante:</w:t>
            </w:r>
          </w:p>
        </w:tc>
        <w:tc>
          <w:tcPr>
            <w:tcW w:w="6800" w:type="dxa"/>
            <w:vAlign w:val="center"/>
            <w:noWrap/>
          </w:tcPr>
          <w:p>
            <w:pPr/>
            <w:r>
              <w:rPr>
                <w:sz w:val="20"/>
                <w:szCs w:val="20"/>
              </w:rPr>
              <w:t xml:space="preserve">Ayuntamiento de {{MUNICIPIO}}</w:t>
            </w:r>
          </w:p>
        </w:tc>
      </w:tr>
      <w:tr>
        <w:trPr/>
        <w:tc>
          <w:tcPr>
            <w:tcW w:w="3200" w:type="dxa"/>
            <w:vAlign w:val="center"/>
            <w:shd w:val="clear" w:fill="F5F5F5"/>
            <w:noWrap/>
          </w:tcPr>
          <w:p>
            <w:pPr/>
            <w:r>
              <w:rPr>
                <w:sz w:val="20"/>
                <w:szCs w:val="20"/>
                <w:b w:val="1"/>
                <w:bCs w:val="1"/>
              </w:rPr>
              <w:t xml:space="preserve">CIF:</w:t>
            </w:r>
          </w:p>
        </w:tc>
        <w:tc>
          <w:tcPr>
            <w:tcW w:w="6800" w:type="dxa"/>
            <w:vAlign w:val="center"/>
            <w:noWrap/>
          </w:tcPr>
          <w:p>
            <w:pPr/>
            <w:r>
              <w:rPr>
                <w:sz w:val="20"/>
                <w:szCs w:val="20"/>
              </w:rPr>
              <w:t xml:space="preserve">{{CIF_MUNICIPIO}}</w:t>
            </w:r>
          </w:p>
        </w:tc>
      </w:tr>
      <w:tr>
        <w:trPr/>
        <w:tc>
          <w:tcPr>
            <w:tcW w:w="3200" w:type="dxa"/>
            <w:vAlign w:val="center"/>
            <w:shd w:val="clear" w:fill="F5F5F5"/>
            <w:noWrap/>
          </w:tcPr>
          <w:p>
            <w:pPr/>
            <w:r>
              <w:rPr>
                <w:sz w:val="20"/>
                <w:szCs w:val="20"/>
                <w:b w:val="1"/>
                <w:bCs w:val="1"/>
              </w:rPr>
              <w:t xml:space="preserve">Órgano de contratación:</w:t>
            </w:r>
          </w:p>
        </w:tc>
        <w:tc>
          <w:tcPr>
            <w:tcW w:w="6800" w:type="dxa"/>
            <w:vAlign w:val="center"/>
            <w:noWrap/>
          </w:tcPr>
          <w:p>
            <w:pPr/>
            <w:r>
              <w:rPr>
                <w:sz w:val="20"/>
                <w:szCs w:val="20"/>
              </w:rPr>
              <w:t xml:space="preserve">Alcaldía</w:t>
            </w:r>
          </w:p>
        </w:tc>
      </w:tr>
      <w:tr>
        <w:trPr/>
        <w:tc>
          <w:tcPr>
            <w:tcW w:w="3200" w:type="dxa"/>
            <w:vAlign w:val="center"/>
            <w:shd w:val="clear" w:fill="F5F5F5"/>
            <w:noWrap/>
          </w:tcPr>
          <w:p>
            <w:pPr/>
            <w:r>
              <w:rPr>
                <w:sz w:val="20"/>
                <w:szCs w:val="20"/>
                <w:b w:val="1"/>
                <w:bCs w:val="1"/>
              </w:rPr>
              <w:t xml:space="preserve">Tipo de contrato:</w:t>
            </w:r>
          </w:p>
        </w:tc>
        <w:tc>
          <w:tcPr>
            <w:tcW w:w="6800" w:type="dxa"/>
            <w:vAlign w:val="center"/>
            <w:noWrap/>
          </w:tcPr>
          <w:p>
            <w:pPr/>
            <w:r>
              <w:rPr>
                <w:sz w:val="20"/>
                <w:szCs w:val="20"/>
              </w:rPr>
              <w:t xml:space="preserve">Contrato privado (art. 25.1.a.2.º LCSP)</w:t>
            </w:r>
          </w:p>
        </w:tc>
      </w:tr>
      <w:tr>
        <w:trPr/>
        <w:tc>
          <w:tcPr>
            <w:tcW w:w="3200" w:type="dxa"/>
            <w:vAlign w:val="center"/>
            <w:shd w:val="clear" w:fill="F5F5F5"/>
            <w:noWrap/>
          </w:tcPr>
          <w:p>
            <w:pPr/>
            <w:r>
              <w:rPr>
                <w:sz w:val="20"/>
                <w:szCs w:val="20"/>
                <w:b w:val="1"/>
                <w:bCs w:val="1"/>
              </w:rPr>
              <w:t xml:space="preserve">Procedimiento:</w:t>
            </w:r>
          </w:p>
        </w:tc>
        <w:tc>
          <w:tcPr>
            <w:tcW w:w="6800" w:type="dxa"/>
            <w:vAlign w:val="center"/>
            <w:noWrap/>
          </w:tcPr>
          <w:p>
            <w:pPr/>
            <w:r>
              <w:rPr>
                <w:sz w:val="20"/>
                <w:szCs w:val="20"/>
              </w:rPr>
              <w:t xml:space="preserve">Contratación directa — DA 9.ª LCSP</w:t>
            </w:r>
          </w:p>
        </w:tc>
      </w:tr>
      <w:tr>
        <w:trPr/>
        <w:tc>
          <w:tcPr>
            <w:tcW w:w="3200" w:type="dxa"/>
            <w:vAlign w:val="center"/>
            <w:shd w:val="clear" w:fill="F5F5F5"/>
            <w:noWrap/>
          </w:tcPr>
          <w:p>
            <w:pPr/>
            <w:r>
              <w:rPr>
                <w:sz w:val="20"/>
                <w:szCs w:val="20"/>
                <w:b w:val="1"/>
                <w:bCs w:val="1"/>
              </w:rPr>
              <w:t xml:space="preserve">Tramitación:</w:t>
            </w:r>
          </w:p>
        </w:tc>
        <w:tc>
          <w:tcPr>
            <w:tcW w:w="6800" w:type="dxa"/>
            <w:vAlign w:val="center"/>
            <w:noWrap/>
          </w:tcPr>
          <w:p>
            <w:pPr/>
            <w:r>
              <w:rPr>
                <w:sz w:val="20"/>
                <w:szCs w:val="20"/>
              </w:rPr>
              <w:t xml:space="preserve">Contrato menor (art. 118 LCSP)</w:t>
            </w:r>
          </w:p>
        </w:tc>
      </w:tr>
      <w:tr>
        <w:trPr/>
        <w:tc>
          <w:tcPr>
            <w:tcW w:w="3200" w:type="dxa"/>
            <w:vAlign w:val="center"/>
            <w:shd w:val="clear" w:fill="F5F5F5"/>
            <w:noWrap/>
          </w:tcPr>
          <w:p>
            <w:pPr/>
            <w:r>
              <w:rPr>
                <w:sz w:val="20"/>
                <w:szCs w:val="20"/>
                <w:b w:val="1"/>
                <w:bCs w:val="1"/>
              </w:rPr>
              <w:t xml:space="preserve">Objeto:</w:t>
            </w:r>
          </w:p>
        </w:tc>
        <w:tc>
          <w:tcPr>
            <w:tcW w:w="6800" w:type="dxa"/>
            <w:vAlign w:val="center"/>
            <w:noWrap/>
          </w:tcPr>
          <w:p>
            <w:pPr/>
            <w:r>
              <w:rPr>
                <w:sz w:val="20"/>
                <w:szCs w:val="20"/>
              </w:rPr>
              <w:t xml:space="preserve">Suscripción a base de datos jurídico-administrativa Edilia</w:t>
            </w:r>
          </w:p>
        </w:tc>
      </w:tr>
      <w:tr>
        <w:trPr/>
        <w:tc>
          <w:tcPr>
            <w:tcW w:w="3200" w:type="dxa"/>
            <w:vAlign w:val="center"/>
            <w:shd w:val="clear" w:fill="F5F5F5"/>
            <w:noWrap/>
          </w:tcPr>
          <w:p>
            <w:pPr/>
            <w:r>
              <w:rPr>
                <w:sz w:val="20"/>
                <w:szCs w:val="20"/>
                <w:b w:val="1"/>
                <w:bCs w:val="1"/>
              </w:rPr>
              <w:t xml:space="preserve">Proveedor:</w:t>
            </w:r>
          </w:p>
        </w:tc>
        <w:tc>
          <w:tcPr>
            <w:tcW w:w="6800" w:type="dxa"/>
            <w:vAlign w:val="center"/>
            <w:noWrap/>
          </w:tcPr>
          <w:p>
            <w:pPr/>
            <w:r>
              <w:rPr>
                <w:sz w:val="20"/>
                <w:szCs w:val="20"/>
              </w:rPr>
              <w:t>LM Tech S.L. — CIF {{NIF_LM_TECH}}</w:t>
            </w:r>
          </w:p>
        </w:tc>
      </w:tr>
    </w:tbl>
    <w:p/>
    <w:p>
      <w:pPr>
        <w:pStyle w:val="Heading2"/>
      </w:pPr>
      <w:bookmarkStart w:id="3" w:name="_Toc3"/>
      <w:r>
        <w:t>2. ANTECEDENTES</w:t>
      </w:r>
      <w:bookmarkEnd w:id="3"/>
    </w:p>
    <w:p>
      <w:pPr>
        <w:jc w:val="both"/>
        <w:spacing w:after="120"/>
      </w:pPr>
      <w:r>
        <w:rPr/>
        <w:t xml:space="preserve">La gestión administrativa municipal requiere el acceso permanente y actualizado a fuentes normativas, jurisprudenciales y doctrinales que permitan a los empleados públicos fundamentar adecuadamente sus actuaciones. La complejidad creciente del ordenamiento jurídico-administrativo, unida a la constante producción normativa en todos los ámbitos competenciales, hace imprescindible disponer de herramientas especializadas que faciliten la consulta, localización e interpretación de la legislación vigente.</w:t>
      </w:r>
    </w:p>
    <w:p>
      <w:pPr>
        <w:jc w:val="both"/>
        <w:spacing w:after="120"/>
      </w:pPr>
      <w:r>
        <w:rPr/>
        <w:t xml:space="preserve">En la actualidad, los servicios municipales del Ayuntamiento de {{MUNICIPIO}} carecen de un acceso estructurado y sistematizado a una base de datos jurídica especializada en el ámbito local, lo que ralentiza la tramitación de expedientes, incrementa el riesgo de errores en la fundamentación jurídica y reduce la eficiencia en la prestación de los servicios públicos.</w:t>
      </w:r>
    </w:p>
    <w:p>
      <w:pPr>
        <w:pStyle w:val="Heading2"/>
      </w:pPr>
      <w:bookmarkStart w:id="4" w:name="_Toc4"/>
      <w:r>
        <w:t>3. OBJETO DEL CONTRATO</w:t>
      </w:r>
      <w:bookmarkEnd w:id="4"/>
    </w:p>
    <w:p>
      <w:pPr>
        <w:jc w:val="both"/>
        <w:spacing w:after="120"/>
      </w:pPr>
      <w:r>
        <w:rPr/>
        <w:t>El objeto del presente contrato es la suscripción al servicio Edilia, base de datos jurídico-administrativa especializada en el ámbito de la Administración Local, desarrollada y mantenida por LM Tech S.L. (CIF {{NIF_LM_TECH}}), accesible a través de la plataforma https://edilia.ayto.app.</w:t>
      </w:r>
    </w:p>
    <w:p>
      <w:pPr>
        <w:jc w:val="both"/>
        <w:spacing w:after="120"/>
      </w:pPr>
      <w:r>
        <w:rPr/>
        <w:t xml:space="preserve">El servicio incluye, entre otras, las siguientes funcionalidades:</w:t>
      </w:r>
    </w:p>
    <w:p>
      <w:pPr>
        <w:jc w:val="both"/>
        <w:spacing w:after="120"/>
        <w:numPr>
          <w:ilvl w:val="0"/>
          <w:numId w:val="10"/>
        </w:numPr>
      </w:pPr>
      <w:r>
        <w:rPr/>
        <w:t xml:space="preserve">Acceso a más de 493.000 fragmentos normativos indexados y clasificados por materia, con actualización continua.</w:t>
      </w:r>
    </w:p>
    <w:p>
      <w:pPr>
        <w:jc w:val="both"/>
        <w:spacing w:after="120"/>
        <w:numPr>
          <w:ilvl w:val="0"/>
          <w:numId w:val="10"/>
        </w:numPr>
      </w:pPr>
      <w:r>
        <w:rPr/>
        <w:t xml:space="preserve">Motor de búsqueda semántica con inteligencia artificial que permite localizar legislación, jurisprudencia y doctrina administrativa mediante consultas en lenguaje natural.</w:t>
      </w:r>
    </w:p>
    <w:p>
      <w:pPr>
        <w:jc w:val="both"/>
        <w:spacing w:after="120"/>
        <w:numPr>
          <w:ilvl w:val="0"/>
          <w:numId w:val="10"/>
        </w:numPr>
      </w:pPr>
      <w:r>
        <w:rPr/>
        <w:t xml:space="preserve">Generación asistida de documentos administrativos (informes, resoluciones, decretos, providencias) adaptados al contexto normativo vigente.</w:t>
      </w:r>
    </w:p>
    <w:p>
      <w:pPr>
        <w:jc w:val="both"/>
        <w:spacing w:after="120"/>
        <w:numPr>
          <w:ilvl w:val="0"/>
          <w:numId w:val="10"/>
        </w:numPr>
      </w:pPr>
      <w:r>
        <w:rPr/>
        <w:t xml:space="preserve">Base de conocimiento especializada en régimen local, contratación pública, urbanismo, haciendas locales, personal, servicios sociales y demás materias de competencia municipal.</w:t>
      </w:r>
    </w:p>
    <w:p>
      <w:pPr>
        <w:jc w:val="both"/>
        <w:spacing w:after="120"/>
        <w:numPr>
          <w:ilvl w:val="0"/>
          <w:numId w:val="10"/>
        </w:numPr>
      </w:pPr>
      <w:r>
        <w:rPr/>
        <w:t xml:space="preserve">Interfaz web segura con acceso mediante credenciales individuales y trazabilidad de consultas.</w:t>
      </w:r>
    </w:p>
    <w:p>
      <w:pPr>
        <w:pStyle w:val="Heading2"/>
      </w:pPr>
      <w:bookmarkStart w:id="5" w:name="_Toc5"/>
      <w:r>
        <w:t>4. JUSTIFICACIÓN DE LA NECESIDAD</w:t>
      </w:r>
      <w:bookmarkEnd w:id="5"/>
    </w:p>
    <w:p>
      <w:pPr>
        <w:jc w:val="both"/>
        <w:spacing w:after="120"/>
      </w:pPr>
      <w:r>
        <w:rPr/>
        <w:t xml:space="preserve">El personal al servicio del Ayuntamiento de {{MUNICIPIO}} precisa disponer de acceso rápido, fiable y actualizado a la legislación, jurisprudencia y documentación administrativa relevante para el ejercicio de sus funciones. Esta necesidad se fundamenta en las siguientes razones:</w:t>
      </w:r>
    </w:p>
    <w:p>
      <w:pPr>
        <w:jc w:val="both"/>
        <w:spacing w:after="120"/>
        <w:numPr>
          <w:ilvl w:val="0"/>
          <w:numId w:val="10"/>
        </w:numPr>
      </w:pPr>
      <w:r>
        <w:rPr/>
        <w:t xml:space="preserve">Seguridad jurídica: La fundamentación adecuada de los actos administrativos es una obligación legal (art. 35 de la Ley 39/2015) y requiere el conocimiento preciso de la normativa vigente en cada momento.</w:t>
      </w:r>
    </w:p>
    <w:p>
      <w:pPr>
        <w:jc w:val="both"/>
        <w:spacing w:after="120"/>
        <w:numPr>
          <w:ilvl w:val="0"/>
          <w:numId w:val="10"/>
        </w:numPr>
      </w:pPr>
      <w:r>
        <w:rPr/>
        <w:t xml:space="preserve">Eficiencia administrativa: El acceso inmediato a bases de datos especializadas reduce significativamente los tiempos de búsqueda y consulta, liberando recursos humanos para tareas de mayor valor añadido.</w:t>
      </w:r>
    </w:p>
    <w:p>
      <w:pPr>
        <w:jc w:val="both"/>
        <w:spacing w:after="120"/>
        <w:numPr>
          <w:ilvl w:val="0"/>
          <w:numId w:val="10"/>
        </w:numPr>
      </w:pPr>
      <w:r>
        <w:rPr/>
        <w:t xml:space="preserve">Actualización normativa: El volumen de producción normativa en el ámbito local (estatal, autonómico y local) hace materialmente imposible el seguimiento manual de todas las modificaciones legislativas.</w:t>
      </w:r>
    </w:p>
    <w:p>
      <w:pPr>
        <w:jc w:val="both"/>
        <w:spacing w:after="120"/>
        <w:numPr>
          <w:ilvl w:val="0"/>
          <w:numId w:val="10"/>
        </w:numPr>
      </w:pPr>
      <w:r>
        <w:rPr/>
        <w:t xml:space="preserve">Reducción de errores: La utilización de herramientas de consulta sistematizadas minimiza el riesgo de aplicar normativa derogada o interpretaciones superadas.</w:t>
      </w:r>
    </w:p>
    <w:p>
      <w:pPr>
        <w:jc w:val="both"/>
        <w:spacing w:after="120"/>
        <w:numPr>
          <w:ilvl w:val="0"/>
          <w:numId w:val="10"/>
        </w:numPr>
      </w:pPr>
      <w:r>
        <w:rPr/>
        <w:t xml:space="preserve">Modernización administrativa: La incorporación de tecnologías de inteligencia artificial al servicio de la gestión pública contribuye al cumplimiento de los objetivos de transformación digital de las Administraciones Públicas.</w:t>
      </w:r>
    </w:p>
    <w:p>
      <w:pPr>
        <w:pStyle w:val="Heading2"/>
      </w:pPr>
      <w:bookmarkStart w:id="6" w:name="_Toc6"/>
      <w:r>
        <w:t>5. IDONEIDAD DEL SERVICIO EDILIA</w:t>
      </w:r>
      <w:bookmarkEnd w:id="6"/>
    </w:p>
    <w:p>
      <w:pPr>
        <w:jc w:val="both"/>
        <w:spacing w:after="120"/>
      </w:pPr>
      <w:r>
        <w:rPr/>
        <w:t xml:space="preserve">Edilia es la única base de datos jurídico-administrativa del mercado español diseñada específicamente para las necesidades de los municipios, que combina la exhaustividad de un repositorio normativo con capacidades de inteligencia artificial generativa. Entre los factores que determinan su idoneidad destacan:</w:t>
      </w:r>
    </w:p>
    <w:p>
      <w:pPr>
        <w:jc w:val="both"/>
        <w:spacing w:after="120"/>
        <w:numPr>
          <w:ilvl w:val="0"/>
          <w:numId w:val="10"/>
        </w:numPr>
      </w:pPr>
      <w:r>
        <w:rPr/>
        <w:t xml:space="preserve">Especialización municipal: A diferencia de otras bases de datos jurídicas generalistas, Edilia está diseñada y optimizada para las competencias, procedimientos y necesidades específicas de los Ayuntamientos.</w:t>
      </w:r>
    </w:p>
    <w:p>
      <w:pPr>
        <w:jc w:val="both"/>
        <w:spacing w:after="120"/>
        <w:numPr>
          <w:ilvl w:val="0"/>
          <w:numId w:val="10"/>
        </w:numPr>
      </w:pPr>
      <w:r>
        <w:rPr/>
        <w:t xml:space="preserve">Cobertura normativa: Más de 493.000 fragmentos legales indexados que abarcan todas las materias de competencia municipal, con actualización continua.</w:t>
      </w:r>
    </w:p>
    <w:p>
      <w:pPr>
        <w:jc w:val="both"/>
        <w:spacing w:after="120"/>
        <w:numPr>
          <w:ilvl w:val="0"/>
          <w:numId w:val="10"/>
        </w:numPr>
      </w:pPr>
      <w:r>
        <w:rPr/>
        <w:t xml:space="preserve">Inteligencia artificial: Motor de búsqueda semántica y generación documental asistida que permite obtener respuestas contextualizadas, no meras listas de resultados.</w:t>
      </w:r>
    </w:p>
    <w:p>
      <w:pPr>
        <w:jc w:val="both"/>
        <w:spacing w:after="120"/>
        <w:numPr>
          <w:ilvl w:val="0"/>
          <w:numId w:val="10"/>
        </w:numPr>
      </w:pPr>
      <w:r>
        <w:rPr/>
        <w:t xml:space="preserve">Cumplimiento normativo: Servidores ubicados en España, cumplimiento del RGPD y del Esquema Nacional de Seguridad, con pseudoanonimización de datos.</w:t>
      </w:r>
    </w:p>
    <w:p>
      <w:pPr>
        <w:jc w:val="both"/>
        <w:spacing w:after="120"/>
        <w:numPr>
          <w:ilvl w:val="0"/>
          <w:numId w:val="10"/>
        </w:numPr>
      </w:pPr>
      <w:r>
        <w:rPr/>
        <w:t xml:space="preserve">Soporte especializado: Equipo de soporte con conocimiento específico del ámbito jurídico-administrativo local.</w:t>
      </w:r>
    </w:p>
    <w:p>
      <w:pPr>
        <w:pStyle w:val="Heading2"/>
      </w:pPr>
      <w:bookmarkStart w:id="7" w:name="_Toc7"/>
      <w:r>
        <w:t>6. FUNDAMENTO JURÍDICO</w:t>
      </w:r>
      <w:bookmarkEnd w:id="7"/>
    </w:p>
    <w:p>
      <w:pPr>
        <w:jc w:val="both"/>
        <w:spacing w:after="120"/>
      </w:pPr>
      <w:r>
        <w:rPr/>
        <w:t xml:space="preserve">La contratación propuesta se fundamenta en los siguientes preceptos legales:</w:t>
      </w:r>
    </w:p>
    <w:p>
      <w:pPr>
        <w:jc w:val="both"/>
        <w:ind w:left="480" w:right="0" w:firstLine="0" w:hanging="0"/>
        <w:spacing w:after="120"/>
      </w:pPr>
      <w:r>
        <w:rPr/>
        <w:t xml:space="preserve">a) Disposición Adicional Novena de la Ley 9/2017, de 8 de noviembre, de Contratos del Sector Público (LCSP), que establece que las normas previstas en esta Ley para los contratos de servicios no serán de aplicación a la suscripción a revistas, publicaciones periódicas y bases de datos.</w:t>
      </w:r>
    </w:p>
    <w:p>
      <w:pPr>
        <w:jc w:val="both"/>
        <w:ind w:left="480" w:right="0" w:firstLine="0" w:hanging="0"/>
        <w:spacing w:after="120"/>
      </w:pPr>
      <w:r>
        <w:rPr/>
        <w:t xml:space="preserve">b) Artículo 25.1.a.2.º LCSP, que califica como contratos privados los que tengan por objeto la suscripción a revistas, publicaciones periódicas y bases de datos, determinando su régimen jurídico y los efectos y extinción de estos contratos se regirán por el derecho privado.</w:t>
      </w:r>
    </w:p>
    <w:p>
      <w:pPr>
        <w:jc w:val="both"/>
        <w:ind w:left="480" w:right="0" w:firstLine="0" w:hanging="0"/>
        <w:spacing w:after="120"/>
      </w:pPr>
      <w:r>
        <w:rPr/>
        <w:t xml:space="preserve">c) No obstante lo anterior, y en aplicación del principio de buena gestión financiera, se tramita el presente expediente con los requisitos del contrato menor (art. 118 LCSP), a fin de garantizar la adecuada justificación de la necesidad, la existencia de crédito y la aprobación del gasto.</w:t>
      </w:r>
    </w:p>
    <w:p>
      <w:pPr>
        <w:jc w:val="both"/>
        <w:ind w:left="480" w:right="0" w:firstLine="0" w:hanging="0"/>
        <w:spacing w:after="120"/>
      </w:pPr>
      <w:r>
        <w:rPr/>
        <w:t xml:space="preserve">d) La Junta Consultiva de Contratación Pública del Estado, en diversos informes, ha confirmado que las suscripciones a bases de datos jurídicas quedan excluidas del ámbito de aplicación de la LCSP en virtud de la DA 9.ª, sin perjuicio de que resulte aconsejable tramitar un expediente simplificado.</w:t>
      </w:r>
    </w:p>
    <w:p>
      <w:pPr>
        <w:pStyle w:val="Heading2"/>
      </w:pPr>
      <w:bookmarkStart w:id="8" w:name="_Toc8"/>
      <w:r>
        <w:t>7. CONDICIONES ECONÓMICAS</w:t>
      </w:r>
      <w:bookmarkEnd w:id="8"/>
    </w:p>
    <w:p>
      <w:pPr>
        <w:jc w:val="both"/>
        <w:spacing w:after="120"/>
      </w:pPr>
      <w:r>
        <w:rPr/>
        <w:t xml:space="preserve">La suscripción al servicio Edilia contempla las siguientes modalidades de contratación:</w:t>
      </w:r>
    </w:p>
    <w:p/>
    <w:tbl>
      <w:tblGrid>
        <w:gridCol w:w="3000" w:type="dxa"/>
        <w:gridCol w:w="2000" w:type="dxa"/>
        <w:gridCol w:w="2000" w:type="dxa"/>
        <w:gridCol w:w="2000" w:type="dxa"/>
      </w:tblGrid>
      <w:tblPr>
        <w:tblW w:w="5000" w:type="pct"/>
        <w:tblLayout w:type="autofit"/>
        <w:tblCellMar>
          <w:top w:w="80" w:type="dxa"/>
          <w:left w:w="80" w:type="dxa"/>
          <w:right w:w="80" w:type="dxa"/>
          <w:bottom w:w="80" w:type="dxa"/>
        </w:tblCellMar>
        <w:tblBorders>
          <w:top w:val="single" w:sz="1" w:color="CCCCCC"/>
          <w:left w:val="single" w:sz="1" w:color="CCCCCC"/>
          <w:right w:val="single" w:sz="1" w:color="CCCCCC"/>
          <w:bottom w:val="single" w:sz="1" w:color="CCCCCC"/>
          <w:insideH w:val="single" w:sz="1" w:color="CCCCCC"/>
          <w:insideV w:val="single" w:sz="1" w:color="CCCCCC"/>
        </w:tblBorders>
      </w:tblPr>
      <w:tr>
        <w:trPr/>
        <w:tc>
          <w:tcPr>
            <w:tcW w:w="3000" w:type="dxa"/>
            <w:vAlign w:val="center"/>
            <w:shd w:val="clear" w:fill="1B2A4A"/>
            <w:noWrap/>
          </w:tcPr>
          <w:p>
            <w:pPr>
              <w:jc w:val="center"/>
              <w:spacing w:after="120"/>
            </w:pPr>
            <w:r>
              <w:rPr>
                <w:color w:val="FFFFFF"/>
                <w:sz w:val="20"/>
                <w:szCs w:val="20"/>
                <w:b w:val="1"/>
                <w:bCs w:val="1"/>
              </w:rPr>
              <w:t xml:space="preserve">Plan</w:t>
            </w:r>
          </w:p>
        </w:tc>
        <w:tc>
          <w:tcPr>
            <w:tcW w:w="2000" w:type="dxa"/>
            <w:vAlign w:val="center"/>
            <w:shd w:val="clear" w:fill="1B2A4A"/>
            <w:noWrap/>
          </w:tcPr>
          <w:p>
            <w:pPr>
              <w:jc w:val="center"/>
              <w:spacing w:after="120"/>
            </w:pPr>
            <w:r>
              <w:rPr>
                <w:color w:val="FFFFFF"/>
                <w:sz w:val="20"/>
                <w:szCs w:val="20"/>
                <w:b w:val="1"/>
                <w:bCs w:val="1"/>
              </w:rPr>
              <w:t xml:space="preserve">Precio/mes</w:t>
            </w:r>
          </w:p>
        </w:tc>
        <w:tc>
          <w:tcPr>
            <w:tcW w:w="2000" w:type="dxa"/>
            <w:vAlign w:val="center"/>
            <w:shd w:val="clear" w:fill="1B2A4A"/>
            <w:noWrap/>
          </w:tcPr>
          <w:p>
            <w:pPr>
              <w:jc w:val="center"/>
              <w:spacing w:after="120"/>
            </w:pPr>
            <w:r>
              <w:rPr>
                <w:color w:val="FFFFFF"/>
                <w:sz w:val="20"/>
                <w:szCs w:val="20"/>
                <w:b w:val="1"/>
                <w:bCs w:val="1"/>
              </w:rPr>
              <w:t xml:space="preserve">Usuarios</w:t>
            </w:r>
          </w:p>
        </w:tc>
        <w:tc>
          <w:tcPr>
            <w:tcW w:w="2000" w:type="dxa"/>
            <w:vAlign w:val="center"/>
            <w:shd w:val="clear" w:fill="1B2A4A"/>
            <w:noWrap/>
          </w:tcPr>
          <w:p>
            <w:pPr>
              <w:jc w:val="center"/>
              <w:spacing w:after="120"/>
            </w:pPr>
            <w:r>
              <w:rPr>
                <w:color w:val="FFFFFF"/>
                <w:sz w:val="20"/>
                <w:szCs w:val="20"/>
                <w:b w:val="1"/>
                <w:bCs w:val="1"/>
              </w:rPr>
              <w:t xml:space="preserve">Precio anual</w:t>
            </w:r>
          </w:p>
        </w:tc>
      </w:tr>
      <w:tr>
        <w:trPr/>
        <w:tc>
          <w:tcPr>
            <w:tcW w:w="3000" w:type="dxa"/>
            <w:vAlign w:val="center"/>
            <w:shd w:val="clear" w:fill="F9F9F9"/>
            <w:noWrap/>
          </w:tcPr>
          <w:p>
            <w:pPr>
              <w:jc w:val="center"/>
              <w:spacing w:after="120"/>
            </w:pPr>
            <w:r>
              <w:rPr>
                <w:sz w:val="20"/>
                <w:szCs w:val="20"/>
                <w:b w:val="1"/>
                <w:bCs w:val="1"/>
              </w:rPr>
              <w:t xml:space="preserve">Plan Básico</w:t>
            </w:r>
          </w:p>
        </w:tc>
        <w:tc>
          <w:tcPr>
            <w:tcW w:w="2000" w:type="dxa"/>
            <w:vAlign w:val="center"/>
            <w:shd w:val="clear" w:fill="F9F9F9"/>
            <w:noWrap/>
          </w:tcPr>
          <w:p>
            <w:pPr>
              <w:jc w:val="center"/>
              <w:spacing w:after="120"/>
            </w:pPr>
            <w:r>
              <w:rPr>
                <w:sz w:val="20"/>
                <w:szCs w:val="20"/>
              </w:rPr>
              <w:t xml:space="preserve">75 €</w:t>
            </w:r>
          </w:p>
        </w:tc>
        <w:tc>
          <w:tcPr>
            <w:tcW w:w="2000" w:type="dxa"/>
            <w:vAlign w:val="center"/>
            <w:shd w:val="clear" w:fill="F9F9F9"/>
            <w:noWrap/>
          </w:tcPr>
          <w:p>
            <w:pPr>
              <w:jc w:val="center"/>
              <w:spacing w:after="120"/>
            </w:pPr>
            <w:r>
              <w:rPr>
                <w:sz w:val="20"/>
                <w:szCs w:val="20"/>
              </w:rPr>
              <w:t xml:space="preserve">1 usuario</w:t>
            </w:r>
          </w:p>
        </w:tc>
        <w:tc>
          <w:tcPr>
            <w:tcW w:w="2000" w:type="dxa"/>
            <w:vAlign w:val="center"/>
            <w:shd w:val="clear" w:fill="F9F9F9"/>
            <w:noWrap/>
          </w:tcPr>
          <w:p>
            <w:pPr>
              <w:jc w:val="center"/>
              <w:spacing w:after="120"/>
            </w:pPr>
            <w:r>
              <w:rPr>
                <w:sz w:val="20"/>
                <w:szCs w:val="20"/>
              </w:rPr>
              <w:t xml:space="preserve">900 €</w:t>
            </w:r>
          </w:p>
        </w:tc>
      </w:tr>
      <w:tr>
        <w:trPr/>
        <w:tc>
          <w:tcPr>
            <w:tcW w:w="3000" w:type="dxa"/>
            <w:vAlign w:val="center"/>
            <w:noWrap/>
          </w:tcPr>
          <w:p>
            <w:pPr>
              <w:jc w:val="center"/>
              <w:spacing w:after="120"/>
            </w:pPr>
            <w:r>
              <w:rPr>
                <w:sz w:val="20"/>
                <w:szCs w:val="20"/>
                <w:b w:val="1"/>
                <w:bCs w:val="1"/>
              </w:rPr>
              <w:t xml:space="preserve">Plan Profesional</w:t>
            </w:r>
          </w:p>
        </w:tc>
        <w:tc>
          <w:tcPr>
            <w:tcW w:w="2000" w:type="dxa"/>
            <w:vAlign w:val="center"/>
            <w:noWrap/>
          </w:tcPr>
          <w:p>
            <w:pPr>
              <w:jc w:val="center"/>
              <w:spacing w:after="120"/>
            </w:pPr>
            <w:r>
              <w:rPr>
                <w:sz w:val="20"/>
                <w:szCs w:val="20"/>
              </w:rPr>
              <w:t xml:space="preserve">125 €</w:t>
            </w:r>
          </w:p>
        </w:tc>
        <w:tc>
          <w:tcPr>
            <w:tcW w:w="2000" w:type="dxa"/>
            <w:vAlign w:val="center"/>
            <w:noWrap/>
          </w:tcPr>
          <w:p>
            <w:pPr>
              <w:jc w:val="center"/>
              <w:spacing w:after="120"/>
            </w:pPr>
            <w:r>
              <w:rPr>
                <w:sz w:val="20"/>
                <w:szCs w:val="20"/>
              </w:rPr>
              <w:t xml:space="preserve">Hasta 3 usuarios</w:t>
            </w:r>
          </w:p>
        </w:tc>
        <w:tc>
          <w:tcPr>
            <w:tcW w:w="2000" w:type="dxa"/>
            <w:vAlign w:val="center"/>
            <w:noWrap/>
          </w:tcPr>
          <w:p>
            <w:pPr>
              <w:jc w:val="center"/>
              <w:spacing w:after="120"/>
            </w:pPr>
            <w:r>
              <w:rPr>
                <w:sz w:val="20"/>
                <w:szCs w:val="20"/>
              </w:rPr>
              <w:t xml:space="preserve">1.500 €</w:t>
            </w:r>
          </w:p>
        </w:tc>
      </w:tr>
      <w:tr>
        <w:trPr/>
        <w:tc>
          <w:tcPr>
            <w:tcW w:w="3000" w:type="dxa"/>
            <w:vAlign w:val="center"/>
            <w:shd w:val="clear" w:fill="F9F9F9"/>
            <w:noWrap/>
          </w:tcPr>
          <w:p>
            <w:pPr>
              <w:jc w:val="center"/>
              <w:spacing w:after="120"/>
            </w:pPr>
            <w:r>
              <w:rPr>
                <w:sz w:val="20"/>
                <w:szCs w:val="20"/>
                <w:b w:val="1"/>
                <w:bCs w:val="1"/>
              </w:rPr>
              <w:t xml:space="preserve">Plan Corporativo</w:t>
            </w:r>
          </w:p>
        </w:tc>
        <w:tc>
          <w:tcPr>
            <w:tcW w:w="2000" w:type="dxa"/>
            <w:vAlign w:val="center"/>
            <w:shd w:val="clear" w:fill="F9F9F9"/>
            <w:noWrap/>
          </w:tcPr>
          <w:p>
            <w:pPr>
              <w:jc w:val="center"/>
              <w:spacing w:after="120"/>
            </w:pPr>
            <w:r>
              <w:rPr>
                <w:sz w:val="20"/>
                <w:szCs w:val="20"/>
              </w:rPr>
              <w:t xml:space="preserve">200 €</w:t>
            </w:r>
          </w:p>
        </w:tc>
        <w:tc>
          <w:tcPr>
            <w:tcW w:w="2000" w:type="dxa"/>
            <w:vAlign w:val="center"/>
            <w:shd w:val="clear" w:fill="F9F9F9"/>
            <w:noWrap/>
          </w:tcPr>
          <w:p>
            <w:pPr>
              <w:jc w:val="center"/>
              <w:spacing w:after="120"/>
            </w:pPr>
            <w:r>
              <w:rPr>
                <w:sz w:val="20"/>
                <w:szCs w:val="20"/>
              </w:rPr>
              <w:t xml:space="preserve">Usuarios ilimitados</w:t>
            </w:r>
          </w:p>
        </w:tc>
        <w:tc>
          <w:tcPr>
            <w:tcW w:w="2000" w:type="dxa"/>
            <w:vAlign w:val="center"/>
            <w:shd w:val="clear" w:fill="F9F9F9"/>
            <w:noWrap/>
          </w:tcPr>
          <w:p>
            <w:pPr>
              <w:jc w:val="center"/>
              <w:spacing w:after="120"/>
            </w:pPr>
            <w:r>
              <w:rPr>
                <w:sz w:val="20"/>
                <w:szCs w:val="20"/>
              </w:rPr>
              <w:t xml:space="preserve">2.400 €</w:t>
            </w:r>
          </w:p>
        </w:tc>
      </w:tr>
    </w:tbl>
    <w:p/>
    <w:p>
      <w:pPr>
        <w:jc w:val="both"/>
        <w:spacing w:after="120"/>
      </w:pPr>
      <w:r>
        <w:rPr>
          <w:sz w:val="20"/>
          <w:szCs w:val="20"/>
          <w:i w:val="1"/>
          <w:iCs w:val="1"/>
        </w:rPr>
        <w:t xml:space="preserve">Todos los precios se expresan en euros, IVA excluido (21%).</w:t>
      </w:r>
    </w:p>
    <w:p/>
    <w:p>
      <w:pPr>
        <w:jc w:val="both"/>
        <w:spacing w:after="120"/>
      </w:pPr>
      <w:r>
        <w:rPr>
          <w:b w:val="1"/>
          <w:bCs w:val="1"/>
        </w:rPr>
        <w:t xml:space="preserve">Condiciones económicas del presente expediente:</w:t>
      </w:r>
    </w:p>
    <w:tbl>
      <w:tblGrid>
        <w:gridCol w:w="4000" w:type="dxa"/>
        <w:gridCol w:w="6000" w:type="dxa"/>
      </w:tblGrid>
      <w:tblPr>
        <w:tblW w:w="5000" w:type="pct"/>
        <w:tblLayout w:type="autofit"/>
        <w:tblCellMar>
          <w:top w:w="80" w:type="dxa"/>
          <w:left w:w="80" w:type="dxa"/>
          <w:right w:w="80" w:type="dxa"/>
          <w:bottom w:w="80" w:type="dxa"/>
        </w:tblCellMar>
        <w:tblBorders>
          <w:top w:val="single" w:sz="1" w:color="CCCCCC"/>
          <w:left w:val="single" w:sz="1" w:color="CCCCCC"/>
          <w:right w:val="single" w:sz="1" w:color="CCCCCC"/>
          <w:bottom w:val="single" w:sz="1" w:color="CCCCCC"/>
          <w:insideH w:val="single" w:sz="1" w:color="CCCCCC"/>
          <w:insideV w:val="single" w:sz="1" w:color="CCCCCC"/>
        </w:tblBorders>
      </w:tblPr>
      <w:tr>
        <w:trPr/>
        <w:tc>
          <w:tcPr>
            <w:tcW w:w="4000" w:type="dxa"/>
            <w:vAlign w:val="center"/>
            <w:shd w:val="clear" w:fill="F5F5F5"/>
            <w:noWrap/>
          </w:tcPr>
          <w:p>
            <w:pPr/>
            <w:r>
              <w:rPr>
                <w:sz w:val="20"/>
                <w:szCs w:val="20"/>
                <w:b w:val="1"/>
                <w:bCs w:val="1"/>
              </w:rPr>
              <w:t xml:space="preserve">Plan seleccionado:</w:t>
            </w:r>
          </w:p>
        </w:tc>
        <w:tc>
          <w:tcPr>
            <w:tcW w:w="6000" w:type="dxa"/>
            <w:vAlign w:val="center"/>
            <w:noWrap/>
          </w:tcPr>
          <w:p>
            <w:pPr/>
            <w:r>
              <w:rPr>
                <w:color w:val="0066CC"/>
                <w:sz w:val="20"/>
                <w:szCs w:val="20"/>
                <w:b w:val="1"/>
                <w:bCs w:val="1"/>
              </w:rPr>
              <w:t xml:space="preserve">{{PLAN_SELECCIONADO}}</w:t>
            </w:r>
          </w:p>
        </w:tc>
      </w:tr>
      <w:tr>
        <w:trPr/>
        <w:tc>
          <w:tcPr>
            <w:tcW w:w="4000" w:type="dxa"/>
            <w:vAlign w:val="center"/>
            <w:shd w:val="clear" w:fill="F5F5F5"/>
            <w:noWrap/>
          </w:tcPr>
          <w:p>
            <w:pPr/>
            <w:r>
              <w:rPr>
                <w:sz w:val="20"/>
                <w:szCs w:val="20"/>
                <w:b w:val="1"/>
                <w:bCs w:val="1"/>
              </w:rPr>
              <w:t xml:space="preserve">Importe anual (IVA excluido):</w:t>
            </w:r>
          </w:p>
        </w:tc>
        <w:tc>
          <w:tcPr>
            <w:tcW w:w="6000" w:type="dxa"/>
            <w:vAlign w:val="center"/>
            <w:noWrap/>
          </w:tcPr>
          <w:p>
            <w:pPr/>
            <w:r>
              <w:rPr>
                <w:color w:val="0066CC"/>
                <w:sz w:val="20"/>
                <w:szCs w:val="20"/>
                <w:b w:val="1"/>
                <w:bCs w:val="1"/>
              </w:rPr>
              <w:t xml:space="preserve">{{IMPORTE_ANUAL}}</w:t>
            </w:r>
          </w:p>
        </w:tc>
      </w:tr>
      <w:tr>
        <w:trPr/>
        <w:tc>
          <w:tcPr>
            <w:tcW w:w="4000" w:type="dxa"/>
            <w:vAlign w:val="center"/>
            <w:shd w:val="clear" w:fill="F5F5F5"/>
            <w:noWrap/>
          </w:tcPr>
          <w:p>
            <w:pPr/>
            <w:r>
              <w:rPr>
                <w:sz w:val="20"/>
                <w:szCs w:val="20"/>
                <w:b w:val="1"/>
                <w:bCs w:val="1"/>
              </w:rPr>
              <w:t xml:space="preserve">IVA (21%):</w:t>
            </w:r>
          </w:p>
        </w:tc>
        <w:tc>
          <w:tcPr>
            <w:tcW w:w="6000" w:type="dxa"/>
            <w:vAlign w:val="center"/>
            <w:noWrap/>
          </w:tcPr>
          <w:p>
            <w:pPr/>
            <w:r>
              <w:rPr>
                <w:color w:val="0066CC"/>
                <w:sz w:val="20"/>
                <w:szCs w:val="20"/>
                <w:b w:val="1"/>
                <w:bCs w:val="1"/>
              </w:rPr>
              <w:t xml:space="preserve">{{IVA}}</w:t>
            </w:r>
          </w:p>
        </w:tc>
      </w:tr>
      <w:tr>
        <w:trPr/>
        <w:tc>
          <w:tcPr>
            <w:tcW w:w="4000" w:type="dxa"/>
            <w:vAlign w:val="center"/>
            <w:shd w:val="clear" w:fill="F5F5F5"/>
            <w:noWrap/>
          </w:tcPr>
          <w:p>
            <w:pPr/>
            <w:r>
              <w:rPr>
                <w:sz w:val="20"/>
                <w:szCs w:val="20"/>
                <w:b w:val="1"/>
                <w:bCs w:val="1"/>
              </w:rPr>
              <w:t xml:space="preserve">Importe total (IVA incluido):</w:t>
            </w:r>
          </w:p>
        </w:tc>
        <w:tc>
          <w:tcPr>
            <w:tcW w:w="6000" w:type="dxa"/>
            <w:vAlign w:val="center"/>
            <w:noWrap/>
          </w:tcPr>
          <w:p>
            <w:pPr/>
            <w:r>
              <w:rPr>
                <w:color w:val="0066CC"/>
                <w:sz w:val="20"/>
                <w:szCs w:val="20"/>
                <w:b w:val="1"/>
                <w:bCs w:val="1"/>
              </w:rPr>
              <w:t xml:space="preserve">{{IMPORTE_TOTAL}}</w:t>
            </w:r>
          </w:p>
        </w:tc>
      </w:tr>
      <w:tr>
        <w:trPr/>
        <w:tc>
          <w:tcPr>
            <w:tcW w:w="4000" w:type="dxa"/>
            <w:vAlign w:val="center"/>
            <w:shd w:val="clear" w:fill="F5F5F5"/>
            <w:noWrap/>
          </w:tcPr>
          <w:p>
            <w:pPr/>
            <w:r>
              <w:rPr>
                <w:sz w:val="20"/>
                <w:szCs w:val="20"/>
                <w:b w:val="1"/>
                <w:bCs w:val="1"/>
              </w:rPr>
              <w:t xml:space="preserve">Aplicación presupuestaria:</w:t>
            </w:r>
          </w:p>
        </w:tc>
        <w:tc>
          <w:tcPr>
            <w:tcW w:w="6000" w:type="dxa"/>
            <w:vAlign w:val="center"/>
            <w:noWrap/>
          </w:tcPr>
          <w:p>
            <w:pPr/>
            <w:r>
              <w:rPr>
                <w:color w:val="0066CC"/>
                <w:sz w:val="20"/>
                <w:szCs w:val="20"/>
                <w:b w:val="1"/>
                <w:bCs w:val="1"/>
              </w:rPr>
              <w:t xml:space="preserve">{{APLICACION_PRESUPUESTARIA}}</w:t>
            </w:r>
          </w:p>
        </w:tc>
      </w:tr>
      <w:tr>
        <w:trPr/>
        <w:tc>
          <w:tcPr>
            <w:tcW w:w="4000" w:type="dxa"/>
            <w:vAlign w:val="center"/>
            <w:shd w:val="clear" w:fill="F5F5F5"/>
            <w:noWrap/>
          </w:tcPr>
          <w:p>
            <w:pPr/>
            <w:r>
              <w:rPr>
                <w:sz w:val="20"/>
                <w:szCs w:val="20"/>
                <w:b w:val="1"/>
                <w:bCs w:val="1"/>
              </w:rPr>
              <w:t xml:space="preserve">Duración:</w:t>
            </w:r>
          </w:p>
        </w:tc>
        <w:tc>
          <w:tcPr>
            <w:tcW w:w="6000" w:type="dxa"/>
            <w:vAlign w:val="center"/>
            <w:noWrap/>
          </w:tcPr>
          <w:p>
            <w:pPr/>
            <w:r>
              <w:rPr>
                <w:color w:val="0066CC"/>
                <w:sz w:val="20"/>
                <w:szCs w:val="20"/>
                <w:b w:val="1"/>
                <w:bCs w:val="1"/>
              </w:rPr>
              <w:t xml:space="preserve">{{DURACION}}</w:t>
            </w:r>
          </w:p>
        </w:tc>
      </w:tr>
    </w:tbl>
    <w:p>
      <w:pPr>
        <w:pStyle w:val="Heading2"/>
      </w:pPr>
      <w:bookmarkStart w:id="9" w:name="_Toc9"/>
      <w:r>
        <w:t>8. CONCLUSIÓN</w:t>
      </w:r>
      <w:bookmarkEnd w:id="9"/>
    </w:p>
    <w:p>
      <w:pPr>
        <w:jc w:val="both"/>
        <w:spacing w:after="120"/>
      </w:pPr>
      <w:r>
        <w:rPr/>
        <w:t xml:space="preserve">A la vista de lo expuesto, y considerando que la suscripción a la base de datos Edilia constituye una herramienta necesaria para el correcto desempeño de las funciones administrativas municipales, se emite INFORME FAVORABLE a la contratación del servicio, al amparo de la Disposición Adicional Novena de la Ley 9/2017, de Contratos del Sector Público.</w:t>
      </w:r>
    </w:p>
    <w:p/>
    <w:p/>
    <w:p>
      <w:pPr>
        <w:jc w:val="both"/>
        <w:spacing w:after="120"/>
      </w:pPr>
      <w:r>
        <w:rPr/>
        <w:t xml:space="preserve">En {{MUNICIPIO}}, a {{FECHA}}.</w:t>
      </w:r>
    </w:p>
    <w:p/>
    <w:p/>
    <w:p>
      <w:pPr>
        <w:jc w:val="center"/>
        <w:spacing w:after="120"/>
      </w:pPr>
      <w:r>
        <w:rPr>
          <w:b w:val="1"/>
          <w:bCs w:val="1"/>
        </w:rPr>
        <w:t xml:space="preserve">EL/LA RESPONSABLE DEL SERVICIO</w:t>
      </w:r>
    </w:p>
    <w:p/>
    <w:p/>
    <w:p/>
    <w:p>
      <w:pPr>
        <w:jc w:val="center"/>
        <w:spacing w:after="120"/>
      </w:pPr>
      <w:r>
        <w:rPr>
          <w:color w:val="0066CC"/>
          <w:b w:val="1"/>
          <w:bCs w:val="1"/>
        </w:rPr>
        <w:t xml:space="preserve">Fdo.: {{RESPONSABLE_NOMBRE}}</w:t>
      </w:r>
    </w:p>
    <w:p>
      <w:pPr>
        <w:sectPr>
          <w:headerReference w:type="default" r:id="rId9"/>
          <w:footerReference w:type="default" r:id="rId10"/>
          <w:pgSz w:orient="portrait" w:w="11905.511811023622" w:h="16837.79527559055"/>
          <w:pgMar w:top="1417.3228346456694" w:right="1417.3228346456694" w:bottom="1417.3228346456694" w:left="1700.787401574803" w:header="720" w:footer="720" w:gutter="0"/>
          <w:cols w:num="1" w:space="720"/>
        </w:sectPr>
      </w:pPr>
    </w:p>
    <w:p>
      <w:pPr>
        <w:pStyle w:val="Heading1"/>
      </w:pPr>
      <w:bookmarkStart w:id="10" w:name="_Toc10"/>
      <w:r>
        <w:t>DOCUMENTO 2</w:t>
      </w:r>
      <w:bookmarkEnd w:id="10"/>
    </w:p>
    <w:p>
      <w:pPr>
        <w:jc w:val="center"/>
        <w:spacing w:after="120"/>
      </w:pPr>
      <w:r>
        <w:rPr>
          <w:color w:val="1B2A4A"/>
          <w:sz w:val="24"/>
          <w:szCs w:val="24"/>
          <w:b w:val="1"/>
          <w:bCs w:val="1"/>
        </w:rPr>
        <w:t xml:space="preserve">CERTIFICACIÓN DE EXISTENCIA DE CRÉDITO ADECUADO Y SUFICIENTE</w:t>
      </w:r>
    </w:p>
    <w:p>
      <w:pPr>
        <w:spacing w:after="200"/>
        <w:pBdr>
          <w:bottom w:val="single" w:sz="6" w:color="CCCCCC"/>
        </w:pBdr>
      </w:pPr>
      <w:r>
        <w:rPr/>
        <w:t xml:space="preserve"/>
      </w:r>
    </w:p>
    <w:p/>
    <w:p>
      <w:pPr>
        <w:jc w:val="both"/>
        <w:spacing w:after="120"/>
      </w:pPr>
      <w:r>
        <w:rPr/>
        <w:t xml:space="preserve">D./D.ª </w:t>
      </w:r>
      <w:r>
        <w:rPr>
          <w:color w:val="0066CC"/>
          <w:b w:val="1"/>
          <w:bCs w:val="1"/>
        </w:rPr>
        <w:t xml:space="preserve">{{INTERVENTOR_NOMBRE}}</w:t>
      </w:r>
      <w:r>
        <w:rPr/>
        <w:t xml:space="preserve">, Interventor/a (o funcionario/a que ejerza las funciones de control interno) del Ayuntamiento de </w:t>
      </w:r>
      <w:r>
        <w:rPr>
          <w:color w:val="0066CC"/>
          <w:b w:val="1"/>
          <w:bCs w:val="1"/>
        </w:rPr>
        <w:t xml:space="preserve">{{MUNICIPIO}}</w:t>
      </w:r>
      <w:r>
        <w:rPr/>
        <w:t xml:space="preserve">,</w:t>
      </w:r>
    </w:p>
    <w:p/>
    <w:p>
      <w:pPr>
        <w:jc w:val="center"/>
        <w:spacing w:after="120"/>
      </w:pPr>
      <w:r>
        <w:rPr>
          <w:sz w:val="24"/>
          <w:szCs w:val="24"/>
          <w:b w:val="1"/>
          <w:bCs w:val="1"/>
        </w:rPr>
        <w:t xml:space="preserve">CERTIFICO:</w:t>
      </w:r>
    </w:p>
    <w:p/>
    <w:p>
      <w:pPr>
        <w:jc w:val="both"/>
        <w:spacing w:after="120"/>
      </w:pPr>
      <w:r>
        <w:rPr/>
        <w:t xml:space="preserve">Que, examinado el Presupuesto General de la Corporación para el ejercicio {{EJERCICIO}}, existe crédito adecuado y suficiente para atender la obligación económica derivada de la suscripción al servicio de base de datos jurídico-administrativa Edilia, con el siguiente detalle:</w:t>
      </w:r>
    </w:p>
    <w:p/>
    <w:tbl>
      <w:tblGrid>
        <w:gridCol w:w="4000" w:type="dxa"/>
        <w:gridCol w:w="6000" w:type="dxa"/>
      </w:tblGrid>
      <w:tblPr>
        <w:tblW w:w="5000" w:type="pct"/>
        <w:tblLayout w:type="autofit"/>
        <w:tblCellMar>
          <w:top w:w="80" w:type="dxa"/>
          <w:left w:w="80" w:type="dxa"/>
          <w:right w:w="80" w:type="dxa"/>
          <w:bottom w:w="80" w:type="dxa"/>
        </w:tblCellMar>
        <w:tblBorders>
          <w:top w:val="single" w:sz="1" w:color="CCCCCC"/>
          <w:left w:val="single" w:sz="1" w:color="CCCCCC"/>
          <w:right w:val="single" w:sz="1" w:color="CCCCCC"/>
          <w:bottom w:val="single" w:sz="1" w:color="CCCCCC"/>
          <w:insideH w:val="single" w:sz="1" w:color="CCCCCC"/>
          <w:insideV w:val="single" w:sz="1" w:color="CCCCCC"/>
        </w:tblBorders>
      </w:tblPr>
      <w:tr>
        <w:trPr/>
        <w:tc>
          <w:tcPr>
            <w:tcW w:w="4000" w:type="dxa"/>
            <w:vAlign w:val="center"/>
            <w:shd w:val="clear" w:fill="F5F5F5"/>
            <w:noWrap/>
          </w:tcPr>
          <w:p>
            <w:pPr/>
            <w:r>
              <w:rPr>
                <w:sz w:val="20"/>
                <w:szCs w:val="20"/>
                <w:b w:val="1"/>
                <w:bCs w:val="1"/>
              </w:rPr>
              <w:t xml:space="preserve">Concepto:</w:t>
            </w:r>
          </w:p>
        </w:tc>
        <w:tc>
          <w:tcPr>
            <w:tcW w:w="6000" w:type="dxa"/>
            <w:vAlign w:val="center"/>
            <w:noWrap/>
          </w:tcPr>
          <w:p>
            <w:pPr/>
            <w:r>
              <w:rPr>
                <w:sz w:val="20"/>
                <w:szCs w:val="20"/>
              </w:rPr>
              <w:t xml:space="preserve">Suscripción base de datos jurídica Edilia</w:t>
            </w:r>
          </w:p>
        </w:tc>
      </w:tr>
      <w:tr>
        <w:trPr/>
        <w:tc>
          <w:tcPr>
            <w:tcW w:w="4000" w:type="dxa"/>
            <w:vAlign w:val="center"/>
            <w:shd w:val="clear" w:fill="F5F5F5"/>
            <w:noWrap/>
          </w:tcPr>
          <w:p>
            <w:pPr/>
            <w:r>
              <w:rPr>
                <w:sz w:val="20"/>
                <w:szCs w:val="20"/>
                <w:b w:val="1"/>
                <w:bCs w:val="1"/>
              </w:rPr>
              <w:t xml:space="preserve">Aplicación presupuestaria:</w:t>
            </w:r>
          </w:p>
        </w:tc>
        <w:tc>
          <w:tcPr>
            <w:tcW w:w="6000" w:type="dxa"/>
            <w:vAlign w:val="center"/>
            <w:noWrap/>
          </w:tcPr>
          <w:p>
            <w:pPr/>
            <w:r>
              <w:rPr>
                <w:sz w:val="20"/>
                <w:szCs w:val="20"/>
              </w:rPr>
              <w:t xml:space="preserve">{{APLICACION_PRESUPUESTARIA}}</w:t>
            </w:r>
          </w:p>
        </w:tc>
      </w:tr>
      <w:tr>
        <w:trPr/>
        <w:tc>
          <w:tcPr>
            <w:tcW w:w="4000" w:type="dxa"/>
            <w:vAlign w:val="center"/>
            <w:shd w:val="clear" w:fill="F5F5F5"/>
            <w:noWrap/>
          </w:tcPr>
          <w:p>
            <w:pPr/>
            <w:r>
              <w:rPr>
                <w:sz w:val="20"/>
                <w:szCs w:val="20"/>
                <w:b w:val="1"/>
                <w:bCs w:val="1"/>
              </w:rPr>
              <w:t xml:space="preserve">Crédito inicial:</w:t>
            </w:r>
          </w:p>
        </w:tc>
        <w:tc>
          <w:tcPr>
            <w:tcW w:w="6000" w:type="dxa"/>
            <w:vAlign w:val="center"/>
            <w:noWrap/>
          </w:tcPr>
          <w:p>
            <w:pPr/>
            <w:r>
              <w:rPr>
                <w:sz w:val="20"/>
                <w:szCs w:val="20"/>
              </w:rPr>
              <w:t xml:space="preserve">{{CREDITO_INICIAL}}</w:t>
            </w:r>
          </w:p>
        </w:tc>
      </w:tr>
      <w:tr>
        <w:trPr/>
        <w:tc>
          <w:tcPr>
            <w:tcW w:w="4000" w:type="dxa"/>
            <w:vAlign w:val="center"/>
            <w:shd w:val="clear" w:fill="F5F5F5"/>
            <w:noWrap/>
          </w:tcPr>
          <w:p>
            <w:pPr/>
            <w:r>
              <w:rPr>
                <w:sz w:val="20"/>
                <w:szCs w:val="20"/>
                <w:b w:val="1"/>
                <w:bCs w:val="1"/>
              </w:rPr>
              <w:t xml:space="preserve">Retenciones anteriores:</w:t>
            </w:r>
          </w:p>
        </w:tc>
        <w:tc>
          <w:tcPr>
            <w:tcW w:w="6000" w:type="dxa"/>
            <w:vAlign w:val="center"/>
            <w:noWrap/>
          </w:tcPr>
          <w:p>
            <w:pPr/>
            <w:r>
              <w:rPr>
                <w:sz w:val="20"/>
                <w:szCs w:val="20"/>
              </w:rPr>
              <w:t xml:space="preserve">{{RETENCIONES_ANTERIORES}}</w:t>
            </w:r>
          </w:p>
        </w:tc>
      </w:tr>
      <w:tr>
        <w:trPr/>
        <w:tc>
          <w:tcPr>
            <w:tcW w:w="4000" w:type="dxa"/>
            <w:vAlign w:val="center"/>
            <w:shd w:val="clear" w:fill="F5F5F5"/>
            <w:noWrap/>
          </w:tcPr>
          <w:p>
            <w:pPr/>
            <w:r>
              <w:rPr>
                <w:sz w:val="20"/>
                <w:szCs w:val="20"/>
                <w:b w:val="1"/>
                <w:bCs w:val="1"/>
              </w:rPr>
              <w:t xml:space="preserve">Crédito disponible:</w:t>
            </w:r>
          </w:p>
        </w:tc>
        <w:tc>
          <w:tcPr>
            <w:tcW w:w="6000" w:type="dxa"/>
            <w:vAlign w:val="center"/>
            <w:noWrap/>
          </w:tcPr>
          <w:p>
            <w:pPr/>
            <w:r>
              <w:rPr>
                <w:sz w:val="20"/>
                <w:szCs w:val="20"/>
              </w:rPr>
              <w:t xml:space="preserve">{{CREDITO_DISPONIBLE}}</w:t>
            </w:r>
          </w:p>
        </w:tc>
      </w:tr>
      <w:tr>
        <w:trPr/>
        <w:tc>
          <w:tcPr>
            <w:tcW w:w="4000" w:type="dxa"/>
            <w:vAlign w:val="center"/>
            <w:shd w:val="clear" w:fill="F5F5F5"/>
            <w:noWrap/>
          </w:tcPr>
          <w:p>
            <w:pPr/>
            <w:r>
              <w:rPr>
                <w:sz w:val="20"/>
                <w:szCs w:val="20"/>
                <w:b w:val="1"/>
                <w:bCs w:val="1"/>
              </w:rPr>
              <w:t xml:space="preserve">Importe de la presente retención:</w:t>
            </w:r>
          </w:p>
        </w:tc>
        <w:tc>
          <w:tcPr>
            <w:tcW w:w="6000" w:type="dxa"/>
            <w:vAlign w:val="center"/>
            <w:noWrap/>
          </w:tcPr>
          <w:p>
            <w:pPr/>
            <w:r>
              <w:rPr>
                <w:sz w:val="20"/>
                <w:szCs w:val="20"/>
              </w:rPr>
              <w:t xml:space="preserve">{{IMPORTE_TOTAL}}</w:t>
            </w:r>
          </w:p>
        </w:tc>
      </w:tr>
      <w:tr>
        <w:trPr/>
        <w:tc>
          <w:tcPr>
            <w:tcW w:w="4000" w:type="dxa"/>
            <w:vAlign w:val="center"/>
            <w:shd w:val="clear" w:fill="F5F5F5"/>
            <w:noWrap/>
          </w:tcPr>
          <w:p>
            <w:pPr/>
            <w:r>
              <w:rPr>
                <w:sz w:val="20"/>
                <w:szCs w:val="20"/>
                <w:b w:val="1"/>
                <w:bCs w:val="1"/>
              </w:rPr>
              <w:t xml:space="preserve">Crédito resultante:</w:t>
            </w:r>
          </w:p>
        </w:tc>
        <w:tc>
          <w:tcPr>
            <w:tcW w:w="6000" w:type="dxa"/>
            <w:vAlign w:val="center"/>
            <w:noWrap/>
          </w:tcPr>
          <w:p>
            <w:pPr/>
            <w:r>
              <w:rPr>
                <w:sz w:val="20"/>
                <w:szCs w:val="20"/>
              </w:rPr>
              <w:t xml:space="preserve">{{CREDITO_RESULTANTE}}</w:t>
            </w:r>
          </w:p>
        </w:tc>
      </w:tr>
      <w:tr>
        <w:trPr/>
        <w:tc>
          <w:tcPr>
            <w:tcW w:w="4000" w:type="dxa"/>
            <w:vAlign w:val="center"/>
            <w:shd w:val="clear" w:fill="F5F5F5"/>
            <w:noWrap/>
          </w:tcPr>
          <w:p>
            <w:pPr/>
            <w:r>
              <w:rPr>
                <w:sz w:val="20"/>
                <w:szCs w:val="20"/>
                <w:b w:val="1"/>
                <w:bCs w:val="1"/>
              </w:rPr>
              <w:t xml:space="preserve">N.º de operación RC:</w:t>
            </w:r>
          </w:p>
        </w:tc>
        <w:tc>
          <w:tcPr>
            <w:tcW w:w="6000" w:type="dxa"/>
            <w:vAlign w:val="center"/>
            <w:noWrap/>
          </w:tcPr>
          <w:p>
            <w:pPr/>
            <w:r>
              <w:rPr>
                <w:sz w:val="20"/>
                <w:szCs w:val="20"/>
              </w:rPr>
              <w:t xml:space="preserve">{{NUMERO_RC}}</w:t>
            </w:r>
          </w:p>
        </w:tc>
      </w:tr>
    </w:tbl>
    <w:p/>
    <w:p/>
    <w:p>
      <w:pPr>
        <w:jc w:val="both"/>
        <w:spacing w:after="120"/>
      </w:pPr>
      <w:r>
        <w:rPr/>
        <w:t xml:space="preserve">Y para que conste y surta los efectos oportunos en el expediente de contratación de referencia, expido la presente certificación.</w:t>
      </w:r>
    </w:p>
    <w:p/>
    <w:p>
      <w:pPr>
        <w:jc w:val="both"/>
        <w:spacing w:after="120"/>
      </w:pPr>
      <w:r>
        <w:rPr/>
        <w:t xml:space="preserve">En {{MUNICIPIO}}, a {{FECHA}}.</w:t>
      </w:r>
    </w:p>
    <w:p/>
    <w:p/>
    <w:p>
      <w:pPr>
        <w:jc w:val="center"/>
        <w:spacing w:after="120"/>
      </w:pPr>
      <w:r>
        <w:rPr>
          <w:b w:val="1"/>
          <w:bCs w:val="1"/>
        </w:rPr>
        <w:t xml:space="preserve">EL/LA INTERVENTOR/A</w:t>
      </w:r>
    </w:p>
    <w:p/>
    <w:p/>
    <w:p/>
    <w:p>
      <w:pPr>
        <w:jc w:val="center"/>
        <w:spacing w:after="120"/>
      </w:pPr>
      <w:r>
        <w:rPr>
          <w:color w:val="0066CC"/>
          <w:b w:val="1"/>
          <w:bCs w:val="1"/>
        </w:rPr>
        <w:t xml:space="preserve">Fdo.: {{INTERVENTOR_NOMBRE}}</w:t>
      </w:r>
    </w:p>
    <w:p>
      <w:pPr>
        <w:sectPr>
          <w:headerReference w:type="default" r:id="rId11"/>
          <w:footerReference w:type="default" r:id="rId12"/>
          <w:pgSz w:orient="portrait" w:w="11905.511811023622" w:h="16837.79527559055"/>
          <w:pgMar w:top="1417.3228346456694" w:right="1417.3228346456694" w:bottom="1417.3228346456694" w:left="1700.787401574803" w:header="720" w:footer="720" w:gutter="0"/>
          <w:cols w:num="1" w:space="720"/>
        </w:sectPr>
      </w:pPr>
    </w:p>
    <w:p>
      <w:pPr>
        <w:pStyle w:val="Heading1"/>
      </w:pPr>
      <w:bookmarkStart w:id="11" w:name="_Toc11"/>
      <w:r>
        <w:t>DOCUMENTO 3</w:t>
      </w:r>
      <w:bookmarkEnd w:id="11"/>
    </w:p>
    <w:p>
      <w:pPr>
        <w:jc w:val="center"/>
        <w:spacing w:after="120"/>
      </w:pPr>
      <w:r>
        <w:rPr>
          <w:color w:val="1B2A4A"/>
          <w:sz w:val="28"/>
          <w:szCs w:val="28"/>
          <w:b w:val="1"/>
          <w:bCs w:val="1"/>
        </w:rPr>
        <w:t xml:space="preserve">RESOLUCIÓN DE ALCALDÍA</w:t>
      </w:r>
    </w:p>
    <w:p>
      <w:pPr>
        <w:jc w:val="center"/>
        <w:spacing w:after="120"/>
      </w:pPr>
      <w:r>
        <w:rPr>
          <w:sz w:val="22"/>
          <w:szCs w:val="22"/>
          <w:i w:val="1"/>
          <w:iCs w:val="1"/>
        </w:rPr>
        <w:t xml:space="preserve">Adjudicación del contrato de suscripción a la base de datos Edilia</w:t>
      </w:r>
    </w:p>
    <w:p>
      <w:pPr>
        <w:spacing w:after="200"/>
        <w:pBdr>
          <w:bottom w:val="single" w:sz="6" w:color="CCCCCC"/>
        </w:pBdr>
      </w:pPr>
      <w:r>
        <w:rPr/>
        <w:t xml:space="preserve"/>
      </w:r>
    </w:p>
    <w:p>
      <w:pPr>
        <w:jc w:val="both"/>
        <w:spacing w:after="120"/>
      </w:pPr>
      <w:r>
        <w:rPr/>
        <w:t xml:space="preserve">D./D.ª </w:t>
      </w:r>
      <w:r>
        <w:rPr>
          <w:color w:val="0066CC"/>
          <w:b w:val="1"/>
          <w:bCs w:val="1"/>
        </w:rPr>
        <w:t xml:space="preserve">{{ALCALDE_NOMBRE}}</w:t>
      </w:r>
      <w:r>
        <w:rPr/>
        <w:t xml:space="preserve">, Alcalde/sa-Presidente/a del Ayuntamiento de </w:t>
      </w:r>
      <w:r>
        <w:rPr>
          <w:color w:val="0066CC"/>
          <w:b w:val="1"/>
          <w:bCs w:val="1"/>
        </w:rPr>
        <w:t xml:space="preserve">{{MUNICIPIO}}</w:t>
      </w:r>
      <w:r>
        <w:rPr/>
        <w:t xml:space="preserve"> (</w:t>
      </w:r>
      <w:r>
        <w:rPr>
          <w:color w:val="0066CC"/>
          <w:b w:val="1"/>
          <w:bCs w:val="1"/>
        </w:rPr>
        <w:t xml:space="preserve">{{PROVINCIA}}</w:t>
      </w:r>
      <w:r>
        <w:rPr/>
        <w:t xml:space="preserve">),</w:t>
      </w:r>
    </w:p>
    <w:p/>
    <w:p>
      <w:pPr>
        <w:pStyle w:val="Heading2"/>
      </w:pPr>
      <w:bookmarkStart w:id="12" w:name="_Toc12"/>
      <w:r>
        <w:t>VISTOS</w:t>
      </w:r>
      <w:bookmarkEnd w:id="12"/>
    </w:p>
    <w:p>
      <w:pPr>
        <w:jc w:val="both"/>
        <w:spacing w:after="120"/>
      </w:pPr>
      <w:r>
        <w:rPr/>
        <w:t>1.º El informe de necesidad e idoneidad emitido por el/la responsable del servicio, en el que se justifica la necesidad de suscribir el Ayuntamiento al servicio de base de datos jurídico-administrativa Edilia, prestado por la empresa LM Tech S.L. (CIF {{NIF_LM_TECH}}).</w:t>
      </w:r>
    </w:p>
    <w:p>
      <w:pPr>
        <w:jc w:val="both"/>
        <w:spacing w:after="120"/>
      </w:pPr>
      <w:r>
        <w:rPr/>
        <w:t xml:space="preserve">2.º La certificación de existencia de crédito adecuado y suficiente en la aplicación presupuestaria {{APLICACION_PRESUPUESTARIA}} del vigente Presupuesto Municipal, por importe de {{IMPORTE_TOTAL}} (IVA incluido).</w:t>
      </w:r>
    </w:p>
    <w:p>
      <w:pPr>
        <w:jc w:val="both"/>
        <w:spacing w:after="120"/>
      </w:pPr>
      <w:r>
        <w:rPr/>
        <w:t xml:space="preserve">3.º Las condiciones generales del servicio ofertadas por el proveedor.</w:t>
      </w:r>
    </w:p>
    <w:p>
      <w:pPr>
        <w:pStyle w:val="Heading2"/>
      </w:pPr>
      <w:bookmarkStart w:id="13" w:name="_Toc13"/>
      <w:r>
        <w:t>ANTECEDENTES</w:t>
      </w:r>
      <w:bookmarkEnd w:id="13"/>
    </w:p>
    <w:p>
      <w:pPr>
        <w:jc w:val="both"/>
        <w:spacing w:after="120"/>
      </w:pPr>
      <w:r>
        <w:rPr/>
        <w:t xml:space="preserve">I. El personal al servicio de este Ayuntamiento necesita disponer de acceso a una base de datos jurídico-administrativa especializada en el ámbito local para el correcto desempeño de sus funciones, conforme se justifica en el informe de necesidad e idoneidad que obra en el expediente.</w:t>
      </w:r>
    </w:p>
    <w:p>
      <w:pPr>
        <w:jc w:val="both"/>
        <w:spacing w:after="120"/>
      </w:pPr>
      <w:r>
        <w:rPr/>
        <w:t>II. El servicio Edilia, desarrollado por LM Tech S.L., constituye una plataforma de consulta jurídica especializada en Administración Local, que combina un repositorio de más de 493.000 fragmentos normativos con capacidades de inteligencia artificial para la búsqueda semántica y la generación asistida de documentos administrativos.</w:t>
      </w:r>
    </w:p>
    <w:p>
      <w:pPr>
        <w:jc w:val="both"/>
        <w:spacing w:after="120"/>
      </w:pPr>
      <w:r>
        <w:rPr/>
        <w:t xml:space="preserve">III. El importe del contrato se sitúa por debajo de los límites establecidos en el artículo 118 de la LCSP para los contratos menores de servicios (15.000 €, IVA excluido), lo que permite su tramitación simplificada.</w:t>
      </w:r>
    </w:p>
    <w:p>
      <w:pPr>
        <w:pStyle w:val="Heading2"/>
      </w:pPr>
      <w:bookmarkStart w:id="14" w:name="_Toc14"/>
      <w:r>
        <w:t>FUNDAMENTOS DE DERECHO</w:t>
      </w:r>
      <w:bookmarkEnd w:id="14"/>
    </w:p>
    <w:p>
      <w:pPr>
        <w:jc w:val="both"/>
        <w:spacing w:after="120"/>
      </w:pPr>
      <w:r>
        <w:rPr/>
        <w:t xml:space="preserve">Primero.— La Disposición Adicional Novena de la Ley 9/2017, de 8 de noviembre, de Contratos del Sector Público, establece que las normas previstas en dicha Ley para los contratos de servicios no serán de aplicación a la suscripción a revistas, publicaciones periódicas y bases de datos.</w:t>
      </w:r>
    </w:p>
    <w:p>
      <w:pPr>
        <w:jc w:val="both"/>
        <w:spacing w:after="120"/>
      </w:pPr>
      <w:r>
        <w:rPr/>
        <w:t xml:space="preserve">Segundo.— El artículo 25.1.a.2.º de la LCSP califica como contratos privados de la Administración los que tengan por objeto la suscripción a revistas, publicaciones periódicas y bases de datos, determinándose su régimen jurídico, efectos y extinción por el derecho privado.</w:t>
      </w:r>
    </w:p>
    <w:p>
      <w:pPr>
        <w:jc w:val="both"/>
        <w:spacing w:after="120"/>
      </w:pPr>
      <w:r>
        <w:rPr/>
        <w:t xml:space="preserve">Tercero.— No obstante la exclusión prevista en la DA 9.ª, resulta aconsejable tramitar un expediente simplificado que garantice la justificación de la necesidad, la existencia de crédito y la aprobación del gasto, en aplicación de los principios de buena gestión financiera y transparencia.</w:t>
      </w:r>
    </w:p>
    <w:p>
      <w:pPr>
        <w:jc w:val="both"/>
        <w:spacing w:after="120"/>
      </w:pPr>
      <w:r>
        <w:rPr/>
        <w:t xml:space="preserve">Cuarto.— El artículo 118.1 de la LCSP permite considerar contratos menores los contratos de valor estimado inferior a 15.000 euros (IVA excluido) cuando se trate de contratos de servicios, exigiendo únicamente la aprobación del gasto y la incorporación de la factura correspondiente.</w:t>
      </w:r>
    </w:p>
    <w:p>
      <w:pPr>
        <w:jc w:val="both"/>
        <w:spacing w:after="120"/>
      </w:pPr>
      <w:r>
        <w:rPr/>
        <w:t xml:space="preserve">Quinto.— El artículo 21.1.s) de la Ley 7/1985, de 2 de abril, Reguladora de las Bases del Régimen Local, atribuye al Alcalde la competencia para las contrataciones y concesiones de toda clase cuando su importe no supere el 10 por ciento de los recursos ordinarios del Presupuesto.</w:t>
      </w:r>
    </w:p>
    <w:p>
      <w:pPr>
        <w:pStyle w:val="Heading2"/>
      </w:pPr>
      <w:bookmarkStart w:id="15" w:name="_Toc15"/>
      <w:r>
        <w:t>PARTE DISPOSITIVA</w:t>
      </w:r>
      <w:bookmarkEnd w:id="15"/>
    </w:p>
    <w:p>
      <w:pPr>
        <w:jc w:val="both"/>
        <w:spacing w:after="120"/>
      </w:pPr>
      <w:r>
        <w:rPr>
          <w:b w:val="1"/>
          <w:bCs w:val="1"/>
        </w:rPr>
        <w:t xml:space="preserve">En virtud de las competencias que me confiere la legislación vigente,</w:t>
      </w:r>
    </w:p>
    <w:p/>
    <w:p>
      <w:pPr>
        <w:jc w:val="center"/>
        <w:spacing w:after="120"/>
      </w:pPr>
      <w:r>
        <w:rPr>
          <w:sz w:val="24"/>
          <w:szCs w:val="24"/>
          <w:b w:val="1"/>
          <w:bCs w:val="1"/>
        </w:rPr>
        <w:t xml:space="preserve">RESUELVO:</w:t>
      </w:r>
    </w:p>
    <w:p/>
    <w:p>
      <w:pPr>
        <w:jc w:val="both"/>
        <w:spacing w:after="120"/>
      </w:pPr>
      <w:r>
        <w:rPr/>
        <w:t>PRIMERO.— Adjudicar a la empresa LM Tech S.L. (CIF {{NIF_LM_TECH}}) el contrato de suscripción al servicio de base de datos jurídico-administrativa Edilia, por un importe anual de {{IMPORTE_ANUAL}} (IVA excluido), más {{IVA}} en concepto de IVA (21%), lo que arroja un importe total de {{IMPORTE_TOTAL}} (IVA incluido).</w:t>
      </w:r>
    </w:p>
    <w:p>
      <w:pPr>
        <w:jc w:val="both"/>
        <w:spacing w:after="120"/>
      </w:pPr>
      <w:r>
        <w:rPr/>
        <w:t xml:space="preserve">SEGUNDO.— Aprobar el gasto correspondiente, con cargo a la aplicación presupuestaria {{APLICACION_PRESUPUESTARIA}} del vigente Presupuesto Municipal, ejercicio {{EJERCICIO}}.</w:t>
      </w:r>
    </w:p>
    <w:p>
      <w:pPr>
        <w:jc w:val="both"/>
        <w:spacing w:after="120"/>
      </w:pPr>
      <w:r>
        <w:rPr/>
        <w:t xml:space="preserve">TERCERO.— Encomendar al Departamento de Secretaría la publicación de la presente adjudicación en el Perfil del Contratante del Ayuntamiento, en el supuesto de que el importe del contrato supere los 5.000 euros (IVA excluido), de conformidad con el artículo 63.4 de la LCSP.</w:t>
      </w:r>
    </w:p>
    <w:p>
      <w:pPr>
        <w:jc w:val="both"/>
        <w:spacing w:after="120"/>
      </w:pPr>
      <w:r>
        <w:rPr/>
        <w:t xml:space="preserve">CUARTO.— Notificar la presente Resolución al adjudicatario y a la Intervención Municipal, a los efectos oportunos.</w:t>
      </w:r>
    </w:p>
    <w:p>
      <w:pPr>
        <w:jc w:val="both"/>
        <w:spacing w:after="120"/>
      </w:pPr>
      <w:r>
        <w:rPr/>
        <w:t xml:space="preserve">QUINTO.— Dar cuenta de la presente Resolución al Pleno de la Corporación en la primera sesión que se celebre, de conformidad con el artículo 42 del Real Decreto 2568/1986, de 28 de noviembre.</w:t>
      </w:r>
    </w:p>
    <w:p/>
    <w:p>
      <w:pPr>
        <w:jc w:val="both"/>
        <w:spacing w:after="120"/>
      </w:pPr>
      <w:r>
        <w:rPr>
          <w:sz w:val="20"/>
          <w:szCs w:val="20"/>
          <w:i w:val="1"/>
          <w:iCs w:val="1"/>
        </w:rPr>
        <w:t xml:space="preserve">Contra la presente Resolución, que pone fin a la vía administrativa, podrá interponerse recurso contencioso-administrativo ante el Juzgado de lo Contencioso-Administrativo de la provincia, en el plazo de dos meses contados desde el día siguiente al de su notificación, de conformidad con los artículos 8 y 46 de la Ley 29/1998, de 13 de julio, reguladora de la Jurisdicción Contencioso-Administrativa.</w:t>
      </w:r>
    </w:p>
    <w:p/>
    <w:p/>
    <w:p>
      <w:pPr>
        <w:jc w:val="both"/>
        <w:spacing w:after="120"/>
      </w:pPr>
      <w:r>
        <w:rPr/>
        <w:t xml:space="preserve">En {{MUNICIPIO}}, a {{FECHA}}.</w:t>
      </w:r>
    </w:p>
    <w:p/>
    <w:p/>
    <w:p>
      <w:pPr>
        <w:jc w:val="center"/>
        <w:spacing w:after="120"/>
      </w:pPr>
      <w:r>
        <w:rPr>
          <w:b w:val="1"/>
          <w:bCs w:val="1"/>
        </w:rPr>
        <w:t xml:space="preserve">EL/LA ALCALDE/SA-PRESIDENTE/A</w:t>
      </w:r>
    </w:p>
    <w:p/>
    <w:p/>
    <w:p/>
    <w:p>
      <w:pPr>
        <w:jc w:val="center"/>
        <w:spacing w:after="120"/>
      </w:pPr>
      <w:r>
        <w:rPr>
          <w:color w:val="0066CC"/>
          <w:b w:val="1"/>
          <w:bCs w:val="1"/>
        </w:rPr>
        <w:t xml:space="preserve">Fdo.: {{ALCALDE_NOMBRE}}</w:t>
      </w:r>
    </w:p>
    <w:p>
      <w:pPr>
        <w:sectPr>
          <w:headerReference w:type="default" r:id="rId13"/>
          <w:footerReference w:type="default" r:id="rId14"/>
          <w:pgSz w:orient="portrait" w:w="11905.511811023622" w:h="16837.79527559055"/>
          <w:pgMar w:top="1417.3228346456694" w:right="1417.3228346456694" w:bottom="1417.3228346456694" w:left="1700.787401574803" w:header="720" w:footer="720" w:gutter="0"/>
          <w:cols w:num="1" w:space="720"/>
        </w:sectPr>
      </w:pPr>
    </w:p>
    <w:p>
      <w:pPr>
        <w:pStyle w:val="Heading1"/>
      </w:pPr>
      <w:bookmarkStart w:id="16" w:name="_Toc16"/>
      <w:r>
        <w:t>DOCUMENTO 4</w:t>
      </w:r>
      <w:bookmarkEnd w:id="16"/>
    </w:p>
    <w:p>
      <w:pPr>
        <w:jc w:val="center"/>
        <w:spacing w:after="120"/>
      </w:pPr>
      <w:r>
        <w:rPr>
          <w:color w:val="1B2A4A"/>
          <w:sz w:val="24"/>
          <w:szCs w:val="24"/>
          <w:b w:val="1"/>
          <w:bCs w:val="1"/>
        </w:rPr>
        <w:t xml:space="preserve">CONTRATO DE ENCARGADO DEL TRATAMIENTO DE DATOS PERSONALES</w:t>
      </w:r>
    </w:p>
    <w:p>
      <w:pPr>
        <w:jc w:val="center"/>
        <w:spacing w:after="120"/>
      </w:pPr>
      <w:r>
        <w:rPr>
          <w:sz w:val="20"/>
          <w:szCs w:val="20"/>
          <w:i w:val="1"/>
          <w:iCs w:val="1"/>
        </w:rPr>
        <w:t xml:space="preserve">(Artículo 28 del Reglamento (UE) 2016/679 — RGPD)</w:t>
      </w:r>
    </w:p>
    <w:p>
      <w:pPr>
        <w:spacing w:after="200"/>
        <w:pBdr>
          <w:bottom w:val="single" w:sz="6" w:color="CCCCCC"/>
        </w:pBdr>
      </w:pPr>
      <w:r>
        <w:rPr/>
        <w:t xml:space="preserve"/>
      </w:r>
    </w:p>
    <w:p>
      <w:pPr>
        <w:pStyle w:val="Heading2"/>
      </w:pPr>
      <w:bookmarkStart w:id="17" w:name="_Toc17"/>
      <w:r>
        <w:t>PARTES</w:t>
      </w:r>
      <w:bookmarkEnd w:id="17"/>
    </w:p>
    <w:p>
      <w:pPr>
        <w:jc w:val="both"/>
        <w:spacing w:after="120"/>
      </w:pPr>
      <w:r>
        <w:rPr>
          <w:b w:val="1"/>
          <w:bCs w:val="1"/>
        </w:rPr>
        <w:t xml:space="preserve">De una parte:</w:t>
      </w:r>
    </w:p>
    <w:p>
      <w:pPr>
        <w:jc w:val="both"/>
        <w:spacing w:after="120"/>
      </w:pPr>
      <w:r>
        <w:rPr/>
        <w:t xml:space="preserve">El Ayuntamiento de </w:t>
      </w:r>
      <w:r>
        <w:rPr>
          <w:color w:val="0066CC"/>
          <w:b w:val="1"/>
          <w:bCs w:val="1"/>
        </w:rPr>
        <w:t xml:space="preserve">{{MUNICIPIO}}</w:t>
      </w:r>
      <w:r>
        <w:rPr/>
        <w:t xml:space="preserve">, con CIF </w:t>
      </w:r>
      <w:r>
        <w:rPr>
          <w:color w:val="0066CC"/>
          <w:b w:val="1"/>
          <w:bCs w:val="1"/>
        </w:rPr>
        <w:t xml:space="preserve">{{CIF_MUNICIPIO}}</w:t>
      </w:r>
      <w:r>
        <w:rPr/>
        <w:t xml:space="preserve">, representado por D./D.ª </w:t>
      </w:r>
      <w:r>
        <w:rPr>
          <w:color w:val="0066CC"/>
          <w:b w:val="1"/>
          <w:bCs w:val="1"/>
        </w:rPr>
        <w:t xml:space="preserve">{{REPRESENTANTE}}</w:t>
      </w:r>
      <w:r>
        <w:rPr/>
        <w:t xml:space="preserve">, en su condición de Alcalde/sa-Presidente/a, actuando en nombre y representación del citado Ayuntamiento, en adelante el </w:t>
      </w:r>
      <w:r>
        <w:rPr>
          <w:b w:val="1"/>
          <w:bCs w:val="1"/>
        </w:rPr>
        <w:t xml:space="preserve">RESPONSABLE DEL TRATAMIENTO</w:t>
      </w:r>
      <w:r>
        <w:rPr/>
        <w:t xml:space="preserve">.</w:t>
      </w:r>
    </w:p>
    <w:p/>
    <w:p>
      <w:pPr>
        <w:jc w:val="both"/>
        <w:spacing w:after="120"/>
      </w:pPr>
      <w:r>
        <w:rPr>
          <w:b w:val="1"/>
          <w:bCs w:val="1"/>
        </w:rPr>
        <w:t xml:space="preserve">De otra parte:</w:t>
      </w:r>
    </w:p>
    <w:p>
      <w:pPr>
        <w:jc w:val="both"/>
        <w:spacing w:after="120"/>
      </w:pPr>
      <w:r>
        <w:rPr/>
        <w:t>LM Tech S.L., con CIF {{NIF_LM_TECH}} y domicilio social en Segovia, representada por D. Roberto López Miquel, en su condición de administrador único, en adelante el ENCARGADO DEL TRATAMIENTO.</w:t>
      </w:r>
    </w:p>
    <w:p/>
    <w:p>
      <w:pPr>
        <w:jc w:val="both"/>
        <w:spacing w:after="120"/>
      </w:pPr>
      <w:r>
        <w:rPr/>
        <w:t xml:space="preserve">Ambas partes se reconocen mutuamente la capacidad legal necesaria para la firma del presente contrato y, a tal efecto,</w:t>
      </w:r>
    </w:p>
    <w:p/>
    <w:p>
      <w:pPr>
        <w:jc w:val="center"/>
        <w:spacing w:after="120"/>
      </w:pPr>
      <w:r>
        <w:rPr>
          <w:sz w:val="24"/>
          <w:szCs w:val="24"/>
          <w:b w:val="1"/>
          <w:bCs w:val="1"/>
        </w:rPr>
        <w:t xml:space="preserve">EXPONEN:</w:t>
      </w:r>
    </w:p>
    <w:p/>
    <w:p>
      <w:pPr>
        <w:jc w:val="both"/>
        <w:spacing w:after="120"/>
      </w:pPr>
      <w:r>
        <w:rPr/>
        <w:t xml:space="preserve">I. Que el Responsable ha contratado al Encargado la prestación del servicio de base de datos jurídico-administrativa Edilia, accesible a través de https://edilia.ayto.app, que implica el acceso y tratamiento de datos de carácter personal por parte del Encargado.</w:t>
      </w:r>
    </w:p>
    <w:p>
      <w:pPr>
        <w:jc w:val="both"/>
        <w:spacing w:after="120"/>
      </w:pPr>
      <w:r>
        <w:rPr/>
        <w:t xml:space="preserve">II. Que, en cumplimiento de lo establecido en el artículo 28 del Reglamento (UE) 2016/679 del Parlamento Europeo y del Consejo, de 27 de abril de 2016, relativo a la protección de las personas físicas en lo que respecta al tratamiento de datos personales (en adelante, RGPD), las partes formalizan el presente contrato de encargado del tratamiento.</w:t>
      </w:r>
    </w:p>
    <w:p/>
    <w:p>
      <w:pPr>
        <w:jc w:val="center"/>
        <w:spacing w:after="120"/>
      </w:pPr>
      <w:r>
        <w:rPr>
          <w:sz w:val="24"/>
          <w:szCs w:val="24"/>
          <w:b w:val="1"/>
          <w:bCs w:val="1"/>
        </w:rPr>
        <w:t xml:space="preserve">CLÁUSULAS</w:t>
      </w:r>
    </w:p>
    <w:p/>
    <w:p>
      <w:pPr>
        <w:pStyle w:val="Heading2"/>
      </w:pPr>
      <w:bookmarkStart w:id="18" w:name="_Toc18"/>
      <w:r>
        <w:t>PRIMERA.— Objeto del encargo del tratamiento</w:t>
      </w:r>
      <w:bookmarkEnd w:id="18"/>
    </w:p>
    <w:p>
      <w:pPr>
        <w:jc w:val="both"/>
        <w:spacing w:after="120"/>
      </w:pPr>
      <w:r>
        <w:rPr/>
        <w:t xml:space="preserve">Mediante el presente contrato, el Responsable encomienda al Encargado el tratamiento de los datos personales necesarios para la prestación del servicio Edilia, conforme a las instrucciones que se detallan a continuación:</w:t>
      </w:r>
    </w:p>
    <w:tbl>
      <w:tblGrid>
        <w:gridCol w:w="3200" w:type="dxa"/>
        <w:gridCol w:w="6800" w:type="dxa"/>
      </w:tblGrid>
      <w:tblPr>
        <w:tblW w:w="5000" w:type="pct"/>
        <w:tblLayout w:type="autofit"/>
        <w:tblCellMar>
          <w:top w:w="80" w:type="dxa"/>
          <w:left w:w="80" w:type="dxa"/>
          <w:right w:w="80" w:type="dxa"/>
          <w:bottom w:w="80" w:type="dxa"/>
        </w:tblCellMar>
        <w:tblBorders>
          <w:top w:val="single" w:sz="1" w:color="CCCCCC"/>
          <w:left w:val="single" w:sz="1" w:color="CCCCCC"/>
          <w:right w:val="single" w:sz="1" w:color="CCCCCC"/>
          <w:bottom w:val="single" w:sz="1" w:color="CCCCCC"/>
          <w:insideH w:val="single" w:sz="1" w:color="CCCCCC"/>
          <w:insideV w:val="single" w:sz="1" w:color="CCCCCC"/>
        </w:tblBorders>
      </w:tblPr>
      <w:tr>
        <w:trPr/>
        <w:tc>
          <w:tcPr>
            <w:tcW w:w="3200" w:type="dxa"/>
            <w:vAlign w:val="center"/>
            <w:shd w:val="clear" w:fill="F5F5F5"/>
            <w:noWrap/>
          </w:tcPr>
          <w:p>
            <w:pPr/>
            <w:r>
              <w:rPr>
                <w:sz w:val="20"/>
                <w:szCs w:val="20"/>
                <w:b w:val="1"/>
                <w:bCs w:val="1"/>
              </w:rPr>
              <w:t xml:space="preserve">Finalidad del tratamiento:</w:t>
            </w:r>
          </w:p>
        </w:tc>
        <w:tc>
          <w:tcPr>
            <w:tcW w:w="6800" w:type="dxa"/>
            <w:vAlign w:val="center"/>
            <w:noWrap/>
          </w:tcPr>
          <w:p>
            <w:pPr/>
            <w:r>
              <w:rPr>
                <w:sz w:val="20"/>
                <w:szCs w:val="20"/>
              </w:rPr>
              <w:t xml:space="preserve">Prestación del servicio de base de datos jurídico-administrativa Edilia, incluyendo consultas de legislación, generación asistida de documentos y soporte técnico.</w:t>
            </w:r>
          </w:p>
        </w:tc>
      </w:tr>
      <w:tr>
        <w:trPr/>
        <w:tc>
          <w:tcPr>
            <w:tcW w:w="3200" w:type="dxa"/>
            <w:vAlign w:val="center"/>
            <w:shd w:val="clear" w:fill="F5F5F5"/>
            <w:noWrap/>
          </w:tcPr>
          <w:p>
            <w:pPr/>
            <w:r>
              <w:rPr>
                <w:sz w:val="20"/>
                <w:szCs w:val="20"/>
                <w:b w:val="1"/>
                <w:bCs w:val="1"/>
              </w:rPr>
              <w:t xml:space="preserve">Tipología de datos:</w:t>
            </w:r>
          </w:p>
        </w:tc>
        <w:tc>
          <w:tcPr>
            <w:tcW w:w="6800" w:type="dxa"/>
            <w:vAlign w:val="center"/>
            <w:noWrap/>
          </w:tcPr>
          <w:p>
            <w:pPr/>
            <w:r>
              <w:rPr>
                <w:sz w:val="20"/>
                <w:szCs w:val="20"/>
              </w:rPr>
              <w:t xml:space="preserve">Datos identificativos de los usuarios del servicio (nombre, apellidos, correo electrónico, cargo). Consultas realizadas al sistema, que podrían contener datos personales de forma incidental.</w:t>
            </w:r>
          </w:p>
        </w:tc>
      </w:tr>
      <w:tr>
        <w:trPr/>
        <w:tc>
          <w:tcPr>
            <w:tcW w:w="3200" w:type="dxa"/>
            <w:vAlign w:val="center"/>
            <w:shd w:val="clear" w:fill="F5F5F5"/>
            <w:noWrap/>
          </w:tcPr>
          <w:p>
            <w:pPr/>
            <w:r>
              <w:rPr>
                <w:sz w:val="20"/>
                <w:szCs w:val="20"/>
                <w:b w:val="1"/>
                <w:bCs w:val="1"/>
              </w:rPr>
              <w:t xml:space="preserve">Categorías de interesados:</w:t>
            </w:r>
          </w:p>
        </w:tc>
        <w:tc>
          <w:tcPr>
            <w:tcW w:w="6800" w:type="dxa"/>
            <w:vAlign w:val="center"/>
            <w:noWrap/>
          </w:tcPr>
          <w:p>
            <w:pPr/>
            <w:r>
              <w:rPr>
                <w:sz w:val="20"/>
                <w:szCs w:val="20"/>
              </w:rPr>
              <w:t xml:space="preserve">Empleados públicos del Ayuntamiento. Ciudadanos cuyos datos pudieran aparecer incidentalmente en las consultas realizadas.</w:t>
            </w:r>
          </w:p>
        </w:tc>
      </w:tr>
      <w:tr>
        <w:trPr/>
        <w:tc>
          <w:tcPr>
            <w:tcW w:w="3200" w:type="dxa"/>
            <w:vAlign w:val="center"/>
            <w:shd w:val="clear" w:fill="F5F5F5"/>
            <w:noWrap/>
          </w:tcPr>
          <w:p>
            <w:pPr/>
            <w:r>
              <w:rPr>
                <w:sz w:val="20"/>
                <w:szCs w:val="20"/>
                <w:b w:val="1"/>
                <w:bCs w:val="1"/>
              </w:rPr>
              <w:t xml:space="preserve">Duración del tratamiento:</w:t>
            </w:r>
          </w:p>
        </w:tc>
        <w:tc>
          <w:tcPr>
            <w:tcW w:w="6800" w:type="dxa"/>
            <w:vAlign w:val="center"/>
            <w:noWrap/>
          </w:tcPr>
          <w:p>
            <w:pPr/>
            <w:r>
              <w:rPr>
                <w:sz w:val="20"/>
                <w:szCs w:val="20"/>
              </w:rPr>
              <w:t xml:space="preserve">El tratamiento se mantendrá durante la vigencia del contrato de suscripción al servicio Edilia. Finalizada la relación contractual, se aplicará lo previsto en la cláusula séptima.</w:t>
            </w:r>
          </w:p>
        </w:tc>
      </w:tr>
    </w:tbl>
    <w:p/>
    <w:p>
      <w:pPr>
        <w:pStyle w:val="Heading2"/>
      </w:pPr>
      <w:bookmarkStart w:id="19" w:name="_Toc19"/>
      <w:r>
        <w:t>SEGUNDA.— Obligaciones del Encargado del Tratamiento</w:t>
      </w:r>
      <w:bookmarkEnd w:id="19"/>
    </w:p>
    <w:p>
      <w:pPr>
        <w:jc w:val="both"/>
        <w:spacing w:after="120"/>
      </w:pPr>
      <w:r>
        <w:rPr/>
        <w:t xml:space="preserve">1. Tratar los datos personales únicamente conforme a las instrucciones documentadas del Responsable, incluidas las transferencias de datos a un tercer país o a una organización internacional.</w:t>
      </w:r>
    </w:p>
    <w:p>
      <w:pPr>
        <w:jc w:val="both"/>
        <w:spacing w:after="120"/>
      </w:pPr>
      <w:r>
        <w:rPr/>
        <w:t xml:space="preserve">2. Garantizar que las personas autorizadas para tratar datos personales se hayan comprometido a respetar la confidencialidad o estén sujetas a una obligación de confidencialidad de naturaleza estatutaria.</w:t>
      </w:r>
    </w:p>
    <w:p>
      <w:pPr>
        <w:jc w:val="both"/>
        <w:spacing w:after="120"/>
      </w:pPr>
      <w:r>
        <w:rPr/>
        <w:t xml:space="preserve">3. Tomar todas las medidas necesarias de conformidad con el artículo 32 del RGPD (seguridad del tratamiento).</w:t>
      </w:r>
    </w:p>
    <w:p>
      <w:pPr>
        <w:jc w:val="both"/>
        <w:spacing w:after="120"/>
      </w:pPr>
      <w:r>
        <w:rPr/>
        <w:t xml:space="preserve">4. No recurrir a otro encargado del tratamiento sin la autorización previa por escrito del Responsable, salvo lo previsto en la cláusula quinta.</w:t>
      </w:r>
    </w:p>
    <w:p>
      <w:pPr>
        <w:jc w:val="both"/>
        <w:spacing w:after="120"/>
      </w:pPr>
      <w:r>
        <w:rPr/>
        <w:t xml:space="preserve">5. Asistir al Responsable, teniendo en cuenta la naturaleza del tratamiento, mediante las medidas técnicas y organizativas apropiadas, siempre que sea posible, para que este pueda cumplir con su obligación de responder a las solicitudes de ejercicio de derechos de los interesados.</w:t>
      </w:r>
    </w:p>
    <w:p>
      <w:pPr>
        <w:jc w:val="both"/>
        <w:spacing w:after="120"/>
      </w:pPr>
      <w:r>
        <w:rPr/>
        <w:t xml:space="preserve">6. Ayudar al Responsable a garantizar el cumplimiento de las obligaciones establecidas en los artículos 32 a 36 del RGPD, teniendo en cuenta la naturaleza del tratamiento y la información a disposición del Encargado.</w:t>
      </w:r>
    </w:p>
    <w:p>
      <w:pPr>
        <w:jc w:val="both"/>
        <w:spacing w:after="120"/>
      </w:pPr>
      <w:r>
        <w:rPr/>
        <w:t xml:space="preserve">7. A elección del Responsable, suprimir o devolver todos los datos personales una vez finalice la prestación de los servicios de tratamiento, y suprimir las copias existentes a menos que se requiera la conservación de los datos personales en virtud del Derecho de la Unión o de los Estados miembros.</w:t>
      </w:r>
    </w:p>
    <w:p>
      <w:pPr>
        <w:jc w:val="both"/>
        <w:spacing w:after="120"/>
      </w:pPr>
      <w:r>
        <w:rPr/>
        <w:t xml:space="preserve">8. Poner a disposición del Responsable toda la información necesaria para demostrar el cumplimiento de las obligaciones establecidas en el artículo 28 del RGPD, así como para permitir y contribuir a la realización de auditorías, incluidas inspecciones.</w:t>
      </w:r>
    </w:p>
    <w:p>
      <w:pPr>
        <w:jc w:val="both"/>
        <w:spacing w:after="120"/>
      </w:pPr>
      <w:r>
        <w:rPr/>
        <w:t xml:space="preserve">9. Informar inmediatamente al Responsable si, en su opinión, una instrucción infringe el RGPD u otras disposiciones en materia de protección de datos de la Unión o de los Estados miembros.</w:t>
      </w:r>
    </w:p>
    <w:p>
      <w:pPr>
        <w:jc w:val="both"/>
        <w:spacing w:after="120"/>
      </w:pPr>
      <w:r>
        <w:rPr/>
        <w:t xml:space="preserve">10. Notificar al Responsable, sin dilación indebida, y en todo caso en un plazo máximo de 48 horas, las violaciones de seguridad de los datos personales de las que tenga conocimiento, junto con toda la información relevante para la documentación y comunicación de la incidencia.</w:t>
      </w:r>
    </w:p>
    <w:p>
      <w:pPr>
        <w:pStyle w:val="Heading2"/>
      </w:pPr>
      <w:bookmarkStart w:id="20" w:name="_Toc20"/>
      <w:r>
        <w:t>TERCERA.— Medidas de seguridad</w:t>
      </w:r>
      <w:bookmarkEnd w:id="20"/>
    </w:p>
    <w:p>
      <w:pPr>
        <w:jc w:val="both"/>
        <w:spacing w:after="120"/>
      </w:pPr>
      <w:r>
        <w:rPr/>
        <w:t xml:space="preserve">El Encargado aplicará las medidas técnicas y organizativas apropiadas para garantizar un nivel de seguridad adecuado al riesgo, que en todo caso incluirán:</w:t>
      </w:r>
    </w:p>
    <w:p>
      <w:pPr>
        <w:jc w:val="both"/>
        <w:spacing w:after="120"/>
        <w:numPr>
          <w:ilvl w:val="0"/>
          <w:numId w:val="10"/>
        </w:numPr>
      </w:pPr>
      <w:r>
        <w:rPr/>
        <w:t xml:space="preserve">Servidores ubicados en España: Todos los datos se almacenan y procesan en centros de datos situados en territorio español, garantizando la sujeción a la legislación europea y española de protección de datos.</w:t>
      </w:r>
    </w:p>
    <w:p>
      <w:pPr>
        <w:jc w:val="both"/>
        <w:spacing w:after="120"/>
        <w:numPr>
          <w:ilvl w:val="0"/>
          <w:numId w:val="10"/>
        </w:numPr>
      </w:pPr>
      <w:r>
        <w:rPr/>
        <w:t xml:space="preserve">Cifrado en tránsito: Todas las comunicaciones se realizan mediante protocolo HTTPS/TLS 1.3.</w:t>
      </w:r>
    </w:p>
    <w:p>
      <w:pPr>
        <w:jc w:val="both"/>
        <w:spacing w:after="120"/>
        <w:numPr>
          <w:ilvl w:val="0"/>
          <w:numId w:val="10"/>
        </w:numPr>
      </w:pPr>
      <w:r>
        <w:rPr/>
        <w:t xml:space="preserve">Cifrado en reposo: Las bases de datos se encuentran cifradas mediante AES-256.</w:t>
      </w:r>
    </w:p>
    <w:p>
      <w:pPr>
        <w:jc w:val="both"/>
        <w:spacing w:after="120"/>
        <w:numPr>
          <w:ilvl w:val="0"/>
          <w:numId w:val="10"/>
        </w:numPr>
      </w:pPr>
      <w:r>
        <w:rPr/>
        <w:t xml:space="preserve">Pseudoanonimización: Los datos personales que se remiten a servicios de inteligencia artificial son previamente pseudoanonimizados, de forma que no es posible la identificación directa de los interesados.</w:t>
      </w:r>
    </w:p>
    <w:p>
      <w:pPr>
        <w:jc w:val="both"/>
        <w:spacing w:after="120"/>
        <w:numPr>
          <w:ilvl w:val="0"/>
          <w:numId w:val="10"/>
        </w:numPr>
      </w:pPr>
      <w:r>
        <w:rPr/>
        <w:t xml:space="preserve">Control de acceso: Autenticación mediante credenciales individuales con verificación de correo electrónico. Sesiones con expiración automática.</w:t>
      </w:r>
    </w:p>
    <w:p>
      <w:pPr>
        <w:jc w:val="both"/>
        <w:spacing w:after="120"/>
        <w:numPr>
          <w:ilvl w:val="0"/>
          <w:numId w:val="10"/>
        </w:numPr>
      </w:pPr>
      <w:r>
        <w:rPr/>
        <w:t xml:space="preserve">Copias de seguridad: Realización de copias de seguridad automáticas diarias, con retención durante 30 días.</w:t>
      </w:r>
    </w:p>
    <w:p>
      <w:pPr>
        <w:jc w:val="both"/>
        <w:spacing w:after="120"/>
        <w:numPr>
          <w:ilvl w:val="0"/>
          <w:numId w:val="10"/>
        </w:numPr>
      </w:pPr>
      <w:r>
        <w:rPr/>
        <w:t xml:space="preserve">Monitorización: Sistemas de monitorización continua de la infraestructura y detección de incidentes de seguridad.</w:t>
      </w:r>
    </w:p>
    <w:p>
      <w:pPr>
        <w:jc w:val="both"/>
        <w:spacing w:after="120"/>
        <w:numPr>
          <w:ilvl w:val="0"/>
          <w:numId w:val="10"/>
        </w:numPr>
      </w:pPr>
      <w:r>
        <w:rPr/>
        <w:t xml:space="preserve">Registro de actividad: Trazabilidad completa de los accesos y operaciones realizadas sobre los datos.</w:t>
      </w:r>
    </w:p>
    <w:p>
      <w:pPr>
        <w:pStyle w:val="Heading2"/>
      </w:pPr>
      <w:bookmarkStart w:id="21" w:name="_Toc21"/>
      <w:r>
        <w:t>CUARTA.— Transferencias internacionales de datos</w:t>
      </w:r>
      <w:bookmarkEnd w:id="21"/>
    </w:p>
    <w:p>
      <w:pPr>
        <w:jc w:val="both"/>
        <w:spacing w:after="120"/>
      </w:pPr>
      <w:r>
        <w:rPr/>
        <w:t xml:space="preserve">El Encargado no realizará transferencias internacionales de datos personales fuera del Espacio Económico Europeo, salvo que sea estrictamente necesario para la prestación del servicio y cuente con la autorización previa del Responsable.</w:t>
      </w:r>
    </w:p>
    <w:p>
      <w:pPr>
        <w:jc w:val="both"/>
        <w:spacing w:after="120"/>
      </w:pPr>
      <w:r>
        <w:rPr/>
        <w:t xml:space="preserve">En relación con el uso de servicios de inteligencia artificial para la funcionalidad de búsqueda semántica y generación documental, el Encargado informa de que los datos remitidos a dichos servicios son previamente pseudoanonimizados, de forma que no constituyen datos personales a efectos del RGPD.</w:t>
      </w:r>
    </w:p>
    <w:p>
      <w:pPr>
        <w:pStyle w:val="Heading2"/>
      </w:pPr>
      <w:bookmarkStart w:id="22" w:name="_Toc22"/>
      <w:r>
        <w:t>QUINTA.— Subencargados del tratamiento</w:t>
      </w:r>
      <w:bookmarkEnd w:id="22"/>
    </w:p>
    <w:p>
      <w:pPr>
        <w:jc w:val="both"/>
        <w:spacing w:after="120"/>
      </w:pPr>
      <w:r>
        <w:rPr/>
        <w:t xml:space="preserve">El Responsable autoriza con carácter general al Encargado a recurrir a otros encargados del tratamiento (subencargados) para la prestación del servicio. El Encargado informará al Responsable de cualquier cambio previsto en la incorporación o sustitución de subencargados, dando así al Responsable la oportunidad de oponerse a dichos cambios.</w:t>
      </w:r>
    </w:p>
    <w:p>
      <w:pPr>
        <w:jc w:val="both"/>
        <w:spacing w:after="120"/>
      </w:pPr>
      <w:r>
        <w:rPr/>
        <w:t xml:space="preserve">A la fecha de firma del presente contrato, el Encargado utiliza los siguientes subencargados:</w:t>
      </w:r>
    </w:p>
    <w:tbl>
      <w:tblGrid>
        <w:gridCol w:w="2500" w:type="dxa"/>
        <w:gridCol w:w="2500" w:type="dxa"/>
        <w:gridCol w:w="2500" w:type="dxa"/>
        <w:gridCol w:w="2500" w:type="dxa"/>
      </w:tblGrid>
      <w:tblPr>
        <w:tblW w:w="5000" w:type="pct"/>
        <w:tblLayout w:type="autofit"/>
        <w:tblCellMar>
          <w:top w:w="80" w:type="dxa"/>
          <w:left w:w="80" w:type="dxa"/>
          <w:right w:w="80" w:type="dxa"/>
          <w:bottom w:w="80" w:type="dxa"/>
        </w:tblCellMar>
        <w:tblBorders>
          <w:top w:val="single" w:sz="1" w:color="CCCCCC"/>
          <w:left w:val="single" w:sz="1" w:color="CCCCCC"/>
          <w:right w:val="single" w:sz="1" w:color="CCCCCC"/>
          <w:bottom w:val="single" w:sz="1" w:color="CCCCCC"/>
          <w:insideH w:val="single" w:sz="1" w:color="CCCCCC"/>
          <w:insideV w:val="single" w:sz="1" w:color="CCCCCC"/>
        </w:tblBorders>
      </w:tblPr>
      <w:tr>
        <w:trPr/>
        <w:tc>
          <w:tcPr>
            <w:tcW w:w="2500" w:type="dxa"/>
            <w:vAlign w:val="center"/>
            <w:shd w:val="clear" w:fill="1B2A4A"/>
            <w:noWrap/>
          </w:tcPr>
          <w:p>
            <w:pPr>
              <w:jc w:val="center"/>
              <w:spacing w:after="120"/>
            </w:pPr>
            <w:r>
              <w:rPr>
                <w:color w:val="FFFFFF"/>
                <w:sz w:val="20"/>
                <w:szCs w:val="20"/>
                <w:b w:val="1"/>
                <w:bCs w:val="1"/>
              </w:rPr>
              <w:t xml:space="preserve">Subencargado</w:t>
            </w:r>
          </w:p>
        </w:tc>
        <w:tc>
          <w:tcPr>
            <w:tcW w:w="2500" w:type="dxa"/>
            <w:vAlign w:val="center"/>
            <w:shd w:val="clear" w:fill="1B2A4A"/>
            <w:noWrap/>
          </w:tcPr>
          <w:p>
            <w:pPr>
              <w:jc w:val="center"/>
              <w:spacing w:after="120"/>
            </w:pPr>
            <w:r>
              <w:rPr>
                <w:color w:val="FFFFFF"/>
                <w:sz w:val="20"/>
                <w:szCs w:val="20"/>
                <w:b w:val="1"/>
                <w:bCs w:val="1"/>
              </w:rPr>
              <w:t xml:space="preserve">Finalidad</w:t>
            </w:r>
          </w:p>
        </w:tc>
        <w:tc>
          <w:tcPr>
            <w:tcW w:w="2500" w:type="dxa"/>
            <w:vAlign w:val="center"/>
            <w:shd w:val="clear" w:fill="1B2A4A"/>
            <w:noWrap/>
          </w:tcPr>
          <w:p>
            <w:pPr>
              <w:jc w:val="center"/>
              <w:spacing w:after="120"/>
            </w:pPr>
            <w:r>
              <w:rPr>
                <w:color w:val="FFFFFF"/>
                <w:sz w:val="20"/>
                <w:szCs w:val="20"/>
                <w:b w:val="1"/>
                <w:bCs w:val="1"/>
              </w:rPr>
              <w:t xml:space="preserve">Ubicación</w:t>
            </w:r>
          </w:p>
        </w:tc>
        <w:tc>
          <w:tcPr>
            <w:tcW w:w="2500" w:type="dxa"/>
            <w:vAlign w:val="center"/>
            <w:shd w:val="clear" w:fill="1B2A4A"/>
            <w:noWrap/>
          </w:tcPr>
          <w:p>
            <w:pPr>
              <w:jc w:val="center"/>
              <w:spacing w:after="120"/>
            </w:pPr>
            <w:r>
              <w:rPr>
                <w:color w:val="FFFFFF"/>
                <w:sz w:val="20"/>
                <w:szCs w:val="20"/>
                <w:b w:val="1"/>
                <w:bCs w:val="1"/>
              </w:rPr>
              <w:t xml:space="preserve">Datos tratados</w:t>
            </w:r>
          </w:p>
        </w:tc>
      </w:tr>
      <w:tr>
        <w:trPr/>
        <w:tc>
          <w:tcPr>
            <w:tcW w:w="2500" w:type="dxa"/>
            <w:noWrap/>
          </w:tcPr>
          <w:p>
            <w:pPr/>
            <w:r>
              <w:rPr>
                <w:sz w:val="20"/>
                <w:szCs w:val="20"/>
                <w:b w:val="1"/>
                <w:bCs w:val="1"/>
              </w:rPr>
              <w:t xml:space="preserve">Anthropic (Claude AI)</w:t>
            </w:r>
          </w:p>
        </w:tc>
        <w:tc>
          <w:tcPr>
            <w:tcW w:w="2500" w:type="dxa"/>
            <w:noWrap/>
          </w:tcPr>
          <w:p>
            <w:pPr/>
            <w:r>
              <w:rPr>
                <w:sz w:val="20"/>
                <w:szCs w:val="20"/>
              </w:rPr>
              <w:t xml:space="preserve">Procesamiento de lenguaje natural para búsquedas y generación de documentos</w:t>
            </w:r>
          </w:p>
        </w:tc>
        <w:tc>
          <w:tcPr>
            <w:tcW w:w="2500" w:type="dxa"/>
            <w:noWrap/>
          </w:tcPr>
          <w:p>
            <w:pPr/>
            <w:r>
              <w:rPr>
                <w:sz w:val="20"/>
                <w:szCs w:val="20"/>
              </w:rPr>
              <w:t xml:space="preserve">EE.UU. (cláusulas contractuales tipo)</w:t>
            </w:r>
          </w:p>
        </w:tc>
        <w:tc>
          <w:tcPr>
            <w:tcW w:w="2500" w:type="dxa"/>
            <w:noWrap/>
          </w:tcPr>
          <w:p>
            <w:pPr/>
            <w:r>
              <w:rPr>
                <w:sz w:val="20"/>
                <w:szCs w:val="20"/>
              </w:rPr>
              <w:t xml:space="preserve">Solo datos pseudoanonimizados. No recibe datos personales identificables.</w:t>
            </w:r>
          </w:p>
        </w:tc>
      </w:tr>
      <w:tr>
        <w:trPr/>
        <w:tc>
          <w:tcPr>
            <w:tcW w:w="2500" w:type="dxa"/>
            <w:vAlign w:val="center"/>
            <w:shd w:val="clear" w:fill="F9F9F9"/>
            <w:noWrap/>
          </w:tcPr>
          <w:p>
            <w:pPr/>
            <w:r>
              <w:rPr>
                <w:sz w:val="20"/>
                <w:szCs w:val="20"/>
                <w:b w:val="1"/>
                <w:bCs w:val="1"/>
              </w:rPr>
              <w:t xml:space="preserve">Hetzner Online GmbH</w:t>
            </w:r>
          </w:p>
        </w:tc>
        <w:tc>
          <w:tcPr>
            <w:tcW w:w="2500" w:type="dxa"/>
            <w:vAlign w:val="center"/>
            <w:shd w:val="clear" w:fill="F9F9F9"/>
            <w:noWrap/>
          </w:tcPr>
          <w:p>
            <w:pPr/>
            <w:r>
              <w:rPr>
                <w:sz w:val="20"/>
                <w:szCs w:val="20"/>
              </w:rPr>
              <w:t xml:space="preserve">Alojamiento de infraestructura (servidores)</w:t>
            </w:r>
          </w:p>
        </w:tc>
        <w:tc>
          <w:tcPr>
            <w:tcW w:w="2500" w:type="dxa"/>
            <w:vAlign w:val="center"/>
            <w:shd w:val="clear" w:fill="F9F9F9"/>
            <w:noWrap/>
          </w:tcPr>
          <w:p>
            <w:pPr/>
            <w:r>
              <w:rPr>
                <w:sz w:val="20"/>
                <w:szCs w:val="20"/>
              </w:rPr>
              <w:t xml:space="preserve">Alemania / España (UE)</w:t>
            </w:r>
          </w:p>
        </w:tc>
        <w:tc>
          <w:tcPr>
            <w:tcW w:w="2500" w:type="dxa"/>
            <w:vAlign w:val="center"/>
            <w:shd w:val="clear" w:fill="F9F9F9"/>
            <w:noWrap/>
          </w:tcPr>
          <w:p>
            <w:pPr/>
            <w:r>
              <w:rPr>
                <w:sz w:val="20"/>
                <w:szCs w:val="20"/>
              </w:rPr>
              <w:t xml:space="preserve">Almacenamiento cifrado de todos los datos del servicio.</w:t>
            </w:r>
          </w:p>
        </w:tc>
      </w:tr>
    </w:tbl>
    <w:p>
      <w:pPr>
        <w:pStyle w:val="Heading2"/>
      </w:pPr>
      <w:bookmarkStart w:id="23" w:name="_Toc23"/>
      <w:r>
        <w:t>SEXTA.— Derechos de los interesados</w:t>
      </w:r>
      <w:bookmarkEnd w:id="23"/>
    </w:p>
    <w:p>
      <w:pPr>
        <w:jc w:val="both"/>
        <w:spacing w:after="120"/>
      </w:pPr>
      <w:r>
        <w:rPr/>
        <w:t xml:space="preserve">El Encargado asistirá al Responsable para dar respuesta a las solicitudes de ejercicio de derechos de los interesados (acceso, rectificación, supresión, limitación, portabilidad y oposición), proporcionando la información y los medios técnicos necesarios en el plazo más breve posible y, en todo caso, dentro del plazo legal establecido.</w:t>
      </w:r>
    </w:p>
    <w:p>
      <w:pPr>
        <w:pStyle w:val="Heading2"/>
      </w:pPr>
      <w:bookmarkStart w:id="24" w:name="_Toc24"/>
      <w:r>
        <w:t>SÉPTIMA.— Devolución o destrucción de los datos</w:t>
      </w:r>
      <w:bookmarkEnd w:id="24"/>
    </w:p>
    <w:p>
      <w:pPr>
        <w:jc w:val="both"/>
        <w:spacing w:after="120"/>
      </w:pPr>
      <w:r>
        <w:rPr/>
        <w:t xml:space="preserve">Una vez finalizada la relación contractual, el Encargado procederá, a elección del Responsable, a:</w:t>
      </w:r>
    </w:p>
    <w:p>
      <w:pPr>
        <w:jc w:val="both"/>
        <w:spacing w:after="120"/>
        <w:numPr>
          <w:ilvl w:val="0"/>
          <w:numId w:val="10"/>
        </w:numPr>
      </w:pPr>
      <w:r>
        <w:rPr/>
        <w:t xml:space="preserve">Devolver al Responsable todos los datos personales tratados, en un formato estructurado, de uso común y lectura mecánica.</w:t>
      </w:r>
    </w:p>
    <w:p>
      <w:pPr>
        <w:jc w:val="both"/>
        <w:spacing w:after="120"/>
        <w:numPr>
          <w:ilvl w:val="0"/>
          <w:numId w:val="10"/>
        </w:numPr>
      </w:pPr>
      <w:r>
        <w:rPr/>
        <w:t xml:space="preserve">Destruir todos los datos personales, certificando dicha destrucción por escrito.</w:t>
      </w:r>
    </w:p>
    <w:p>
      <w:pPr>
        <w:jc w:val="both"/>
        <w:spacing w:after="120"/>
      </w:pPr>
      <w:r>
        <w:rPr/>
        <w:t xml:space="preserve">La destrucción o devolución se realizará en un plazo máximo de 30 días naturales desde la finalización del contrato. No obstante, el Encargado podrá conservar los datos bloqueados mientras puedan derivarse responsabilidades de la relación contractual.</w:t>
      </w:r>
    </w:p>
    <w:p>
      <w:pPr>
        <w:pStyle w:val="Heading2"/>
      </w:pPr>
      <w:bookmarkStart w:id="25" w:name="_Toc25"/>
      <w:r>
        <w:t>OCTAVA.— Duración</w:t>
      </w:r>
      <w:bookmarkEnd w:id="25"/>
    </w:p>
    <w:p>
      <w:pPr>
        <w:jc w:val="both"/>
        <w:spacing w:after="120"/>
      </w:pPr>
      <w:r>
        <w:rPr/>
        <w:t xml:space="preserve">El presente contrato de encargado del tratamiento tendrá la misma duración que el contrato principal de suscripción al servicio Edilia y se extinguirá automáticamente con la finalización de dicho contrato, sin perjuicio de la subsistencia de las obligaciones de confidencialidad y las relativas a la devolución o destrucción de datos.</w:t>
      </w:r>
    </w:p>
    <w:p/>
    <w:p>
      <w:pPr>
        <w:jc w:val="both"/>
        <w:spacing w:after="120"/>
      </w:pPr>
      <w:r>
        <w:rPr/>
        <w:t xml:space="preserve">Y en prueba de conformidad con cuanto antecede, ambas partes firman el presente contrato por duplicado ejemplar y a un solo efecto.</w:t>
      </w:r>
    </w:p>
    <w:p/>
    <w:p>
      <w:pPr>
        <w:jc w:val="both"/>
        <w:spacing w:after="120"/>
      </w:pPr>
      <w:r>
        <w:rPr/>
        <w:t xml:space="preserve">En {{MUNICIPIO}}, a {{FECHA}}.</w:t>
      </w:r>
    </w:p>
    <w:p/>
    <w:p/>
    <w:tbl>
      <w:tblGrid>
        <w:gridCol w:w="5000" w:type="dxa"/>
        <w:gridCol w:w="5000" w:type="dxa"/>
      </w:tblGrid>
      <w:tblPr>
        <w:tblW w:w="5000" w:type="pct"/>
        <w:tblLayout w:type="autofit"/>
        <w:tblCellMar>
          <w:top w:w="80" w:type="dxa"/>
          <w:left w:w="80" w:type="dxa"/>
          <w:right w:w="80" w:type="dxa"/>
          <w:bottom w:w="80" w:type="dxa"/>
        </w:tblCellMar>
      </w:tblPr>
      <w:tr>
        <w:trPr/>
        <w:tc>
          <w:tcPr>
            <w:tcW w:w="5000" w:type="dxa"/>
            <w:noWrap/>
          </w:tcPr>
          <w:p>
            <w:pPr>
              <w:jc w:val="center"/>
              <w:spacing w:after="120"/>
            </w:pPr>
            <w:r>
              <w:rPr>
                <w:b w:val="1"/>
                <w:bCs w:val="1"/>
              </w:rPr>
              <w:t xml:space="preserve">POR EL RESPONSABLE</w:t>
            </w:r>
          </w:p>
          <w:p>
            <w:pPr>
              <w:jc w:val="center"/>
              <w:spacing w:after="120"/>
            </w:pPr>
            <w:r>
              <w:rPr>
                <w:sz w:val="20"/>
                <w:szCs w:val="20"/>
              </w:rPr>
              <w:t xml:space="preserve">Ayuntamiento de {{MUNICIPIO}}</w:t>
            </w:r>
          </w:p>
          <w:p/>
          <w:p/>
          <w:p/>
          <w:p>
            <w:pPr>
              <w:jc w:val="center"/>
              <w:spacing w:after="120"/>
            </w:pPr>
            <w:r>
              <w:rPr>
                <w:color w:val="0066CC"/>
                <w:b w:val="1"/>
                <w:bCs w:val="1"/>
              </w:rPr>
              <w:t xml:space="preserve">Fdo.: {{REPRESENTANTE}}</w:t>
            </w:r>
          </w:p>
        </w:tc>
        <w:tc>
          <w:tcPr>
            <w:tcW w:w="5000" w:type="dxa"/>
            <w:noWrap/>
          </w:tcPr>
          <w:p>
            <w:pPr>
              <w:jc w:val="center"/>
              <w:spacing w:after="120"/>
            </w:pPr>
            <w:r>
              <w:rPr>
                <w:b w:val="1"/>
                <w:bCs w:val="1"/>
              </w:rPr>
              <w:t xml:space="preserve">POR EL ENCARGADO</w:t>
            </w:r>
          </w:p>
          <w:p>
            <w:pPr>
              <w:jc w:val="center"/>
              <w:spacing w:after="120"/>
            </w:pPr>
            <w:r>
              <w:rPr>
                <w:sz w:val="20"/>
                <w:szCs w:val="20"/>
              </w:rPr>
              <w:t>LM Tech S.L.</w:t>
            </w:r>
          </w:p>
          <w:p/>
          <w:p/>
          <w:p/>
          <w:p>
            <w:pPr>
              <w:jc w:val="center"/>
              <w:spacing w:after="120"/>
            </w:pPr>
            <w:r>
              <w:rPr>
                <w:b w:val="1"/>
                <w:bCs w:val="1"/>
              </w:rPr>
              <w:t>Fdo.: Roberto López Miquel</w:t>
            </w:r>
          </w:p>
        </w:tc>
      </w:tr>
    </w:tbl>
    <w:p>
      <w:pPr>
        <w:sectPr>
          <w:headerReference w:type="default" r:id="rId15"/>
          <w:footerReference w:type="default" r:id="rId16"/>
          <w:pgSz w:orient="portrait" w:w="11905.511811023622" w:h="16837.79527559055"/>
          <w:pgMar w:top="1417.3228346456694" w:right="1417.3228346456694" w:bottom="1417.3228346456694" w:left="1700.787401574803" w:header="720" w:footer="720" w:gutter="0"/>
          <w:cols w:num="1" w:space="720"/>
        </w:sectPr>
      </w:pPr>
    </w:p>
    <w:p>
      <w:pPr>
        <w:pStyle w:val="Heading1"/>
      </w:pPr>
      <w:bookmarkStart w:id="26" w:name="_Toc26"/>
      <w:r>
        <w:t>NOTA INFORMATIVA</w:t>
      </w:r>
      <w:bookmarkEnd w:id="26"/>
    </w:p>
    <w:p>
      <w:pPr>
        <w:spacing w:after="200"/>
        <w:pBdr>
          <w:bottom w:val="single" w:sz="6" w:color="CCCCCC"/>
        </w:pBdr>
      </w:pPr>
      <w:r>
        <w:rPr/>
        <w:t xml:space="preserve"/>
      </w:r>
    </w:p>
    <w:p>
      <w:pPr>
        <w:pStyle w:val="Heading2"/>
      </w:pPr>
      <w:bookmarkStart w:id="27" w:name="_Toc27"/>
      <w:r>
        <w:t>Publicación en el Perfil del Contratante</w:t>
      </w:r>
      <w:bookmarkEnd w:id="27"/>
    </w:p>
    <w:p>
      <w:pPr>
        <w:jc w:val="both"/>
        <w:spacing w:after="120"/>
      </w:pPr>
      <w:r>
        <w:rPr/>
        <w:t xml:space="preserve">De conformidad con el artículo 63.4 de la Ley 9/2017, de Contratos del Sector Público, deberá publicarse en el perfil del contratante del órgano de contratación, al menos trimestralmente, la relación de los contratos menores celebrados, cuando el importe del contrato supere los 5.000 euros (IVA excluido).</w:t>
      </w:r>
    </w:p>
    <w:p>
      <w:pPr>
        <w:jc w:val="both"/>
        <w:spacing w:after="120"/>
      </w:pPr>
      <w:r>
        <w:rPr/>
        <w:t xml:space="preserve">En el caso de que el importe anual de la suscripción a Edilia supere dicho umbral, el Ayuntamiento deberá proceder a su publicación en la Plataforma de Contratación del Sector Público (PLACSP) o, en su caso, en la plataforma de contratación de la Comunidad Autónoma correspondiente.</w:t>
      </w:r>
    </w:p>
    <w:p/>
    <w:p>
      <w:pPr>
        <w:pStyle w:val="Heading2"/>
      </w:pPr>
      <w:bookmarkStart w:id="28" w:name="_Toc28"/>
      <w:r>
        <w:t>Sobre los marcadores</w:t>
      </w:r>
      <w:bookmarkEnd w:id="28"/>
    </w:p>
    <w:p>
      <w:pPr>
        <w:jc w:val="both"/>
        <w:spacing w:after="120"/>
      </w:pPr>
      <w:r>
        <w:rPr/>
        <w:t xml:space="preserve">Este documento contiene marcadores en formato {{MARCADOR}} que deben ser sustituidos por los datos reales de cada municipio antes de su uso. Los marcadores utilizados son:</w:t>
      </w:r>
    </w:p>
    <w:p>
      <w:pPr>
        <w:jc w:val="both"/>
        <w:spacing w:after="120"/>
        <w:numPr>
          <w:ilvl w:val="0"/>
          <w:numId w:val="10"/>
        </w:numPr>
      </w:pPr>
      <w:r>
        <w:rPr>
          <w:sz w:val="20"/>
          <w:szCs w:val="20"/>
        </w:rPr>
        <w:t xml:space="preserve">{{MUNICIPIO}} — Nombre del municipio</w:t>
      </w:r>
    </w:p>
    <w:p>
      <w:pPr>
        <w:jc w:val="both"/>
        <w:spacing w:after="120"/>
        <w:numPr>
          <w:ilvl w:val="0"/>
          <w:numId w:val="10"/>
        </w:numPr>
      </w:pPr>
      <w:r>
        <w:rPr>
          <w:sz w:val="20"/>
          <w:szCs w:val="20"/>
        </w:rPr>
        <w:t xml:space="preserve">{{FECHA}} — Fecha de emisión del documento</w:t>
      </w:r>
    </w:p>
    <w:p>
      <w:pPr>
        <w:jc w:val="both"/>
        <w:spacing w:after="120"/>
        <w:numPr>
          <w:ilvl w:val="0"/>
          <w:numId w:val="10"/>
        </w:numPr>
      </w:pPr>
      <w:r>
        <w:rPr>
          <w:sz w:val="20"/>
          <w:szCs w:val="20"/>
        </w:rPr>
        <w:t xml:space="preserve">{{CIF_MUNICIPIO}} — CIF del Ayuntamiento</w:t>
      </w:r>
    </w:p>
    <w:p>
      <w:pPr>
        <w:jc w:val="both"/>
        <w:spacing w:after="120"/>
        <w:numPr>
          <w:ilvl w:val="0"/>
          <w:numId w:val="10"/>
        </w:numPr>
      </w:pPr>
      <w:r>
        <w:rPr>
          <w:sz w:val="20"/>
          <w:szCs w:val="20"/>
        </w:rPr>
        <w:t xml:space="preserve">{{ALCALDE_NOMBRE}} — Nombre completo del/la Alcalde/sa</w:t>
      </w:r>
    </w:p>
    <w:p>
      <w:pPr>
        <w:jc w:val="both"/>
        <w:spacing w:after="120"/>
        <w:numPr>
          <w:ilvl w:val="0"/>
          <w:numId w:val="10"/>
        </w:numPr>
      </w:pPr>
      <w:r>
        <w:rPr>
          <w:sz w:val="20"/>
          <w:szCs w:val="20"/>
        </w:rPr>
        <w:t xml:space="preserve">{{REPRESENTANTE}} — Nombre del representante legal del Ayuntamiento</w:t>
      </w:r>
    </w:p>
    <w:p>
      <w:pPr>
        <w:jc w:val="both"/>
        <w:spacing w:after="120"/>
        <w:numPr>
          <w:ilvl w:val="0"/>
          <w:numId w:val="10"/>
        </w:numPr>
      </w:pPr>
      <w:r>
        <w:rPr>
          <w:sz w:val="20"/>
          <w:szCs w:val="20"/>
        </w:rPr>
        <w:t xml:space="preserve">{{INTERVENTOR_NOMBRE}} — Nombre del/la Interventor/a o responsable de control interno</w:t>
      </w:r>
    </w:p>
    <w:p>
      <w:pPr>
        <w:jc w:val="both"/>
        <w:spacing w:after="120"/>
        <w:numPr>
          <w:ilvl w:val="0"/>
          <w:numId w:val="10"/>
        </w:numPr>
      </w:pPr>
      <w:r>
        <w:rPr>
          <w:sz w:val="20"/>
          <w:szCs w:val="20"/>
        </w:rPr>
        <w:t xml:space="preserve">{{RESPONSABLE_NOMBRE}} — Nombre del/la responsable del servicio que emite el informe</w:t>
      </w:r>
    </w:p>
    <w:p>
      <w:pPr>
        <w:jc w:val="both"/>
        <w:spacing w:after="120"/>
        <w:numPr>
          <w:ilvl w:val="0"/>
          <w:numId w:val="10"/>
        </w:numPr>
      </w:pPr>
      <w:r>
        <w:rPr>
          <w:sz w:val="20"/>
          <w:szCs w:val="20"/>
        </w:rPr>
        <w:t xml:space="preserve">{{PROVINCIA}} — Provincia</w:t>
      </w:r>
    </w:p>
    <w:p>
      <w:pPr>
        <w:jc w:val="both"/>
        <w:spacing w:after="120"/>
        <w:numPr>
          <w:ilvl w:val="0"/>
          <w:numId w:val="10"/>
        </w:numPr>
      </w:pPr>
      <w:r>
        <w:rPr>
          <w:sz w:val="20"/>
          <w:szCs w:val="20"/>
        </w:rPr>
        <w:t xml:space="preserve">{{IMPORTE_ANUAL}} — Importe anual del servicio (IVA excluido)</w:t>
      </w:r>
    </w:p>
    <w:p>
      <w:pPr>
        <w:jc w:val="both"/>
        <w:spacing w:after="120"/>
        <w:numPr>
          <w:ilvl w:val="0"/>
          <w:numId w:val="10"/>
        </w:numPr>
      </w:pPr>
      <w:r>
        <w:rPr>
          <w:sz w:val="20"/>
          <w:szCs w:val="20"/>
        </w:rPr>
        <w:t xml:space="preserve">{{IVA}} — Importe del IVA</w:t>
      </w:r>
    </w:p>
    <w:p>
      <w:pPr>
        <w:jc w:val="both"/>
        <w:spacing w:after="120"/>
        <w:numPr>
          <w:ilvl w:val="0"/>
          <w:numId w:val="10"/>
        </w:numPr>
      </w:pPr>
      <w:r>
        <w:rPr>
          <w:sz w:val="20"/>
          <w:szCs w:val="20"/>
        </w:rPr>
        <w:t xml:space="preserve">{{IMPORTE_TOTAL}} — Importe total (IVA incluido)</w:t>
      </w:r>
    </w:p>
    <w:p>
      <w:pPr>
        <w:jc w:val="both"/>
        <w:spacing w:after="120"/>
        <w:numPr>
          <w:ilvl w:val="0"/>
          <w:numId w:val="10"/>
        </w:numPr>
      </w:pPr>
      <w:r>
        <w:rPr>
          <w:sz w:val="20"/>
          <w:szCs w:val="20"/>
        </w:rPr>
        <w:t xml:space="preserve">{{APLICACION_PRESUPUESTARIA}} — Partida presupuestaria aplicable</w:t>
      </w:r>
    </w:p>
    <w:p>
      <w:pPr>
        <w:jc w:val="both"/>
        <w:spacing w:after="120"/>
        <w:numPr>
          <w:ilvl w:val="0"/>
          <w:numId w:val="10"/>
        </w:numPr>
      </w:pPr>
      <w:r>
        <w:rPr>
          <w:sz w:val="20"/>
          <w:szCs w:val="20"/>
        </w:rPr>
        <w:t xml:space="preserve">{{DURACION}} — Duración del contrato</w:t>
      </w:r>
    </w:p>
    <w:p>
      <w:pPr>
        <w:jc w:val="both"/>
        <w:spacing w:after="120"/>
        <w:numPr>
          <w:ilvl w:val="0"/>
          <w:numId w:val="10"/>
        </w:numPr>
      </w:pPr>
      <w:r>
        <w:rPr>
          <w:sz w:val="20"/>
          <w:szCs w:val="20"/>
        </w:rPr>
        <w:t xml:space="preserve">{{EJERCICIO}} — Ejercicio presupuestario</w:t>
      </w:r>
    </w:p>
    <w:p>
      <w:pPr>
        <w:jc w:val="both"/>
        <w:spacing w:after="120"/>
        <w:numPr>
          <w:ilvl w:val="0"/>
          <w:numId w:val="10"/>
        </w:numPr>
      </w:pPr>
      <w:r>
        <w:rPr>
          <w:sz w:val="20"/>
          <w:szCs w:val="20"/>
        </w:rPr>
        <w:t xml:space="preserve">{{PLAN_SELECCIONADO}} — Plan de Edilia seleccionado</w:t>
      </w:r>
    </w:p>
    <w:p/>
    <w:p/>
    <w:p>
      <w:pPr>
        <w:spacing w:after="200"/>
        <w:pBdr>
          <w:bottom w:val="single" w:sz="6" w:color="CCCCCC"/>
        </w:pBdr>
      </w:pPr>
      <w:r>
        <w:rPr/>
        <w:t xml:space="preserve"/>
      </w:r>
    </w:p>
    <w:p/>
    <w:p>
      <w:pPr>
        <w:jc w:val="center"/>
        <w:spacing w:after="120"/>
      </w:pPr>
      <w:r>
        <w:rPr>
          <w:color w:val="1B2A4A"/>
          <w:sz w:val="24"/>
          <w:szCs w:val="24"/>
          <w:b w:val="1"/>
          <w:bCs w:val="1"/>
        </w:rPr>
        <w:t xml:space="preserve">Contacto y soporte</w:t>
      </w:r>
    </w:p>
    <w:p/>
    <w:p>
      <w:pPr>
        <w:jc w:val="center"/>
        <w:spacing w:after="120"/>
      </w:pPr>
      <w:r>
        <w:rPr>
          <w:sz w:val="22"/>
          <w:szCs w:val="22"/>
          <w:b w:val="1"/>
          <w:bCs w:val="1"/>
        </w:rPr>
        <w:t xml:space="preserve">hola@ayto.app</w:t>
      </w:r>
    </w:p>
    <w:p>
      <w:pPr>
        <w:jc w:val="center"/>
        <w:spacing w:after="120"/>
      </w:pPr>
      <w:r>
        <w:rPr>
          <w:color w:val="0066CC"/>
          <w:sz w:val="22"/>
          <w:szCs w:val="22"/>
          <w:b w:val="1"/>
          <w:bCs w:val="1"/>
        </w:rPr>
        <w:t xml:space="preserve">https://edilia.ayto.app</w:t>
      </w:r>
    </w:p>
    <w:p/>
    <w:p>
      <w:pPr>
        <w:jc w:val="center"/>
        <w:spacing w:after="120"/>
      </w:pPr>
      <w:r>
        <w:rPr>
          <w:color w:val="999999"/>
          <w:sz w:val="18"/>
          <w:szCs w:val="18"/>
          <w:i w:val="1"/>
          <w:iCs w:val="1"/>
        </w:rPr>
        <w:t>© 2026 LM Tech S.L. — Todos los derechos reservados.</w:t>
      </w:r>
    </w:p>
    <w:sectPr>
      <w:headerReference w:type="default" r:id="rId17"/>
      <w:footerReference w:type="default" r:id="rId18"/>
      <w:pgSz w:orient="portrait" w:w="11905.511811023622" w:h="16837.79527559055"/>
      <w:pgMar w:top="1417.3228346456694" w:right="1417.3228346456694" w:bottom="1417.3228346456694" w:left="1700.787401574803"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rPr>
      <w:t xml:space="preserve">Página </w:t>
    </w:r>
    <w:r>
      <w:fldChar w:fldCharType="begin"/>
    </w:r>
    <w:r>
      <w:instrText xml:space="preserve"> PAGE \* MERGEFORMAT </w:instrText>
    </w:r>
    <w:r>
      <w:fldChar w:fldCharType="separate"/>
    </w:r>
    <w:r>
      <w:rPr>
        <w:noProof/>
      </w:rPr>
      <w:t>1</w:t>
    </w:r>
    <w:r>
      <w:fldChar w:fldCharType="end"/>
    </w:r>
    <w:r>
      <w:rPr>
        <w:color w:val="999999"/>
        <w:sz w:val="16"/>
        <w:szCs w:val="16"/>
      </w:rPr>
      <w:t xml:space="preserve"> de </w:t>
    </w:r>
    <w:r>
      <w:fldChar w:fldCharType="begin"/>
    </w:r>
    <w:r>
      <w:instrText xml:space="preserve"> NUMPAGES \* MERGEFORMAT </w:instrText>
    </w:r>
    <w:r>
      <w:fldChar w:fldCharType="separate"/>
    </w:r>
    <w:r>
      <w:rPr>
        <w:noProof/>
      </w:rPr>
      <w:t>1</w:t>
    </w:r>
    <w: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rPr>
      <w:t xml:space="preserve">Página </w:t>
    </w:r>
    <w:r>
      <w:fldChar w:fldCharType="begin"/>
    </w:r>
    <w:r>
      <w:instrText xml:space="preserve"> PAGE \* MERGEFORMAT </w:instrText>
    </w:r>
    <w:r>
      <w:fldChar w:fldCharType="separate"/>
    </w:r>
    <w:r>
      <w:rPr>
        <w:noProof/>
      </w:rPr>
      <w:t>1</w:t>
    </w:r>
    <w:r>
      <w:fldChar w:fldCharType="end"/>
    </w:r>
    <w:r>
      <w:rPr>
        <w:color w:val="999999"/>
        <w:sz w:val="16"/>
        <w:szCs w:val="16"/>
      </w:rPr>
      <w:t xml:space="preserve"> de </w:t>
    </w:r>
    <w:r>
      <w:fldChar w:fldCharType="begin"/>
    </w:r>
    <w:r>
      <w:instrText xml:space="preserve"> NUMPAGES \* MERGEFORMAT </w:instrText>
    </w:r>
    <w:r>
      <w:fldChar w:fldCharType="separate"/>
    </w:r>
    <w:r>
      <w:rPr>
        <w:noProof/>
      </w:rPr>
      <w:t>1</w:t>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rPr>
      <w:t xml:space="preserve">Página </w:t>
    </w:r>
    <w:r>
      <w:fldChar w:fldCharType="begin"/>
    </w:r>
    <w:r>
      <w:instrText xml:space="preserve"> PAGE \* MERGEFORMAT </w:instrText>
    </w:r>
    <w:r>
      <w:fldChar w:fldCharType="separate"/>
    </w:r>
    <w:r>
      <w:rPr>
        <w:noProof/>
      </w:rPr>
      <w:t>1</w:t>
    </w:r>
    <w:r>
      <w:fldChar w:fldCharType="end"/>
    </w:r>
    <w:r>
      <w:rPr>
        <w:color w:val="999999"/>
        <w:sz w:val="16"/>
        <w:szCs w:val="16"/>
      </w:rPr>
      <w:t xml:space="preserve"> de </w:t>
    </w:r>
    <w:r>
      <w:fldChar w:fldCharType="begin"/>
    </w:r>
    <w:r>
      <w:instrText xml:space="preserve"> NUMPAGES \* MERGEFORMAT </w:instrText>
    </w:r>
    <w:r>
      <w:fldChar w:fldCharType="separate"/>
    </w:r>
    <w:r>
      <w:rPr>
        <w:noProof/>
      </w:rPr>
      <w:t>1</w:t>
    </w:r>
    <w:r>
      <w:fldChar w:fldCharType="end"/>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rPr>
      <w:t xml:space="preserve">Página </w:t>
    </w:r>
    <w:r>
      <w:fldChar w:fldCharType="begin"/>
    </w:r>
    <w:r>
      <w:instrText xml:space="preserve"> PAGE \* MERGEFORMAT </w:instrText>
    </w:r>
    <w:r>
      <w:fldChar w:fldCharType="separate"/>
    </w:r>
    <w:r>
      <w:rPr>
        <w:noProof/>
      </w:rPr>
      <w:t>1</w:t>
    </w:r>
    <w:r>
      <w:fldChar w:fldCharType="end"/>
    </w:r>
    <w:r>
      <w:rPr>
        <w:color w:val="999999"/>
        <w:sz w:val="16"/>
        <w:szCs w:val="16"/>
      </w:rPr>
      <w:t xml:space="preserve"> de </w:t>
    </w:r>
    <w:r>
      <w:fldChar w:fldCharType="begin"/>
    </w:r>
    <w:r>
      <w:instrText xml:space="preserve"> NUMPAGES \* MERGEFORMAT </w:instrText>
    </w:r>
    <w:r>
      <w:fldChar w:fldCharType="separate"/>
    </w:r>
    <w:r>
      <w:rPr>
        <w:noProof/>
      </w:rPr>
      <w:t>1</w:t>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rPr>
      <w:t xml:space="preserve">Página </w:t>
    </w:r>
    <w:r>
      <w:fldChar w:fldCharType="begin"/>
    </w:r>
    <w:r>
      <w:instrText xml:space="preserve"> PAGE \* MERGEFORMAT </w:instrText>
    </w:r>
    <w:r>
      <w:fldChar w:fldCharType="separate"/>
    </w:r>
    <w:r>
      <w:rPr>
        <w:noProof/>
      </w:rPr>
      <w:t>1</w:t>
    </w:r>
    <w:r>
      <w:fldChar w:fldCharType="end"/>
    </w:r>
    <w:r>
      <w:rPr>
        <w:color w:val="999999"/>
        <w:sz w:val="16"/>
        <w:szCs w:val="16"/>
      </w:rPr>
      <w:t xml:space="preserve"> de </w:t>
    </w:r>
    <w:r>
      <w:fldChar w:fldCharType="begin"/>
    </w:r>
    <w:r>
      <w:instrText xml:space="preserve"> NUMPAGES \* MERGEFORMAT </w:instrText>
    </w:r>
    <w:r>
      <w:fldChar w:fldCharType="separate"/>
    </w:r>
    <w:r>
      <w:rPr>
        <w:noProof/>
      </w:rPr>
      <w:t>1</w:t>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rPr>
      <w:t xml:space="preserve">Página </w:t>
    </w:r>
    <w:r>
      <w:fldChar w:fldCharType="begin"/>
    </w:r>
    <w:r>
      <w:instrText xml:space="preserve"> PAGE \* MERGEFORMAT </w:instrText>
    </w:r>
    <w:r>
      <w:fldChar w:fldCharType="separate"/>
    </w:r>
    <w:r>
      <w:rPr>
        <w:noProof/>
      </w:rPr>
      <w:t>1</w:t>
    </w:r>
    <w:r>
      <w:fldChar w:fldCharType="end"/>
    </w:r>
    <w:r>
      <w:rPr>
        <w:color w:val="999999"/>
        <w:sz w:val="16"/>
        <w:szCs w:val="16"/>
      </w:rPr>
      <w:t xml:space="preserve"> de </w:t>
    </w:r>
    <w:r>
      <w:fldChar w:fldCharType="begin"/>
    </w:r>
    <w:r>
      <w:instrText xml:space="preserve"> NUMPAGES \* MERGEFORMAT </w:instrText>
    </w:r>
    <w:r>
      <w:fldChar w:fldCharType="separate"/>
    </w:r>
    <w:r>
      <w:rPr>
        <w:noProof/>
      </w:rPr>
      <w:t>1</w:t>
    </w:r>
    <w:r>
      <w:fldChar w:fldCharType="end"/>
    </w:r>
  </w:p>
</w:ft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999999"/>
        <w:sz w:val="16"/>
        <w:szCs w:val="16"/>
        <w:i w:val="1"/>
        <w:iCs w:val="1"/>
      </w:rPr>
      <w:t xml:space="preserve">Expediente DA 9.ª LCSP — Edilia</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999999"/>
        <w:sz w:val="16"/>
        <w:szCs w:val="16"/>
        <w:i w:val="1"/>
        <w:iCs w:val="1"/>
      </w:rPr>
      <w:t xml:space="preserve">Expediente DA 9.ª LCSP — Edilia</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999999"/>
        <w:sz w:val="16"/>
        <w:szCs w:val="16"/>
        <w:i w:val="1"/>
        <w:iCs w:val="1"/>
      </w:rPr>
      <w:t xml:space="preserve">Expediente DA 9.ª LCSP — Edilia</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999999"/>
        <w:sz w:val="16"/>
        <w:szCs w:val="16"/>
        <w:i w:val="1"/>
        <w:iCs w:val="1"/>
      </w:rPr>
      <w:t xml:space="preserve">Expediente DA 9.ª LCSP — Edilia</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999999"/>
        <w:sz w:val="16"/>
        <w:szCs w:val="16"/>
        <w:i w:val="1"/>
        <w:iCs w:val="1"/>
      </w:rPr>
      <w:t xml:space="preserve">Expediente DA 9.ª LCSP — Edilia</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999999"/>
        <w:sz w:val="16"/>
        <w:szCs w:val="16"/>
        <w:i w:val="1"/>
        <w:iCs w:val="1"/>
      </w:rPr>
      <w:t xml:space="preserve">Expediente DA 9.ª LCSP — Edilia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nsid w:val="97A56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pPr>
      <w:spacing w:before="0" w:after="120" w:line="276"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200"/>
    </w:pPr>
    <w:rPr>
      <w:color w:val="1B2A4A"/>
      <w:sz w:val="28"/>
      <w:szCs w:val="28"/>
      <w:b w:val="1"/>
      <w:bCs w:val="1"/>
    </w:rPr>
  </w:style>
  <w:style w:type="paragraph" w:styleId="Heading2">
    <w:link w:val="Heading2Char"/>
    <w:name w:val="heading 2"/>
    <w:basedOn w:val="Normal"/>
    <w:pPr>
      <w:spacing w:before="240" w:after="160"/>
    </w:pPr>
    <w:rPr>
      <w:color w:val="1B2A4A"/>
      <w:sz w:val="24"/>
      <w:szCs w:val="24"/>
      <w:b w:val="1"/>
      <w:bCs w:val="1"/>
    </w:rPr>
  </w:style>
  <w:style w:type="paragraph" w:styleId="Heading3">
    <w:link w:val="Heading3Char"/>
    <w:name w:val="heading 3"/>
    <w:basedOn w:val="Normal"/>
    <w:pPr>
      <w:spacing w:before="200" w:after="120"/>
    </w:pPr>
    <w:rPr>
      <w:color w:val="333333"/>
      <w:sz w:val="22"/>
      <w:szCs w:val="22"/>
      <w:b w:val="1"/>
      <w:bCs w:val="1"/>
    </w:rPr>
  </w:style>
  <w:style w:type="character">
    <w:name w:val="bold"/>
    <w:rPr>
      <w:b w:val="1"/>
      <w:bCs w:val="1"/>
    </w:rPr>
  </w:style>
  <w:style w:type="character">
    <w:name w:val="boldItalic"/>
    <w:rPr>
      <w:b w:val="1"/>
      <w:bCs w:val="1"/>
      <w:i w:val="1"/>
      <w:iCs w:val="1"/>
    </w:rPr>
  </w:style>
  <w:style w:type="character">
    <w:name w:val="italic"/>
    <w:rPr>
      <w:i w:val="1"/>
      <w:iCs w:val="1"/>
    </w:rPr>
  </w:style>
  <w:style w:type="character">
    <w:name w:val="small"/>
    <w:rPr>
      <w:color w:val="666666"/>
      <w:sz w:val="18"/>
      <w:szCs w:val="18"/>
    </w:rPr>
  </w:style>
  <w:style w:type="character">
    <w:name w:val="marcador"/>
    <w:rPr>
      <w:color w:val="0066CC"/>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4.xml"/><Relationship Id="rId8" Type="http://schemas.openxmlformats.org/officeDocument/2006/relationships/footer" Target="footer4.xml"/><Relationship Id="rId9" Type="http://schemas.openxmlformats.org/officeDocument/2006/relationships/header" Target="header7.xml"/><Relationship Id="rId10" Type="http://schemas.openxmlformats.org/officeDocument/2006/relationships/footer" Target="footer7.xml"/><Relationship Id="rId11" Type="http://schemas.openxmlformats.org/officeDocument/2006/relationships/header" Target="header10.xml"/><Relationship Id="rId12" Type="http://schemas.openxmlformats.org/officeDocument/2006/relationships/footer" Target="footer10.xml"/><Relationship Id="rId13" Type="http://schemas.openxmlformats.org/officeDocument/2006/relationships/header" Target="header13.xml"/><Relationship Id="rId14" Type="http://schemas.openxmlformats.org/officeDocument/2006/relationships/footer" Target="footer13.xml"/><Relationship Id="rId15" Type="http://schemas.openxmlformats.org/officeDocument/2006/relationships/header" Target="header16.xml"/><Relationship Id="rId16" Type="http://schemas.openxmlformats.org/officeDocument/2006/relationships/footer" Target="footer16.xml"/><Relationship Id="rId17" Type="http://schemas.openxmlformats.org/officeDocument/2006/relationships/header" Target="header19.xml"/><Relationship Id="rId18" Type="http://schemas.openxmlformats.org/officeDocument/2006/relationships/footer" Target="foot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2026-03-12T21:45:32+00:00</dcterms:created>
  <dcterms:modified xsi:type="dcterms:W3CDTF">2026-03-12T21:45:32+00:00</dcterms:modified>
</cp:coreProperties>
</file>

<file path=docProps/custom.xml><?xml version="1.0" encoding="utf-8"?>
<Properties xmlns="http://schemas.openxmlformats.org/officeDocument/2006/custom-properties" xmlns:vt="http://schemas.openxmlformats.org/officeDocument/2006/docPropsVTypes"/>
</file>